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sz w:val="120"/>
          <w:szCs w:val="120"/>
        </w:rPr>
      </w:pPr>
    </w:p>
    <w:p>
      <w:pPr>
        <w:spacing w:line="360" w:lineRule="auto"/>
        <w:jc w:val="center"/>
        <w:outlineLvl w:val="0"/>
        <w:rPr>
          <w:rFonts w:cs="宋体" w:asciiTheme="minorEastAsia" w:hAnsiTheme="minorEastAsia" w:eastAsiaTheme="minorEastAsia"/>
          <w:sz w:val="36"/>
          <w:szCs w:val="36"/>
        </w:rPr>
      </w:pPr>
      <w:r>
        <w:rPr>
          <w:rFonts w:hint="eastAsia" w:cs="宋体" w:asciiTheme="majorEastAsia" w:hAnsiTheme="majorEastAsia" w:eastAsiaTheme="majorEastAsia"/>
          <w:b/>
          <w:spacing w:val="80"/>
          <w:sz w:val="84"/>
          <w:szCs w:val="84"/>
        </w:rPr>
        <w:t>询价通知书</w:t>
      </w:r>
      <w:r>
        <w:rPr>
          <w:rFonts w:hint="eastAsia" w:cs="宋体" w:asciiTheme="minorEastAsia" w:hAnsiTheme="minorEastAsia" w:eastAsiaTheme="minorEastAsia"/>
          <w:sz w:val="36"/>
          <w:szCs w:val="36"/>
        </w:rPr>
        <w:t xml:space="preserve"> </w:t>
      </w:r>
    </w:p>
    <w:p>
      <w:pPr>
        <w:spacing w:line="360" w:lineRule="auto"/>
        <w:rPr>
          <w:rFonts w:cs="宋体" w:asciiTheme="minorEastAsia" w:hAnsiTheme="minorEastAsia" w:eastAsiaTheme="minorEastAsia"/>
          <w:sz w:val="36"/>
          <w:szCs w:val="36"/>
        </w:rPr>
      </w:pPr>
    </w:p>
    <w:p>
      <w:pPr>
        <w:spacing w:line="360" w:lineRule="auto"/>
        <w:ind w:firstLine="1440" w:firstLineChars="400"/>
        <w:rPr>
          <w:rFonts w:cs="宋体" w:asciiTheme="minorEastAsia" w:hAnsiTheme="minorEastAsia" w:eastAsiaTheme="minorEastAsia"/>
          <w:sz w:val="36"/>
          <w:szCs w:val="36"/>
        </w:rPr>
      </w:pPr>
    </w:p>
    <w:p>
      <w:pPr>
        <w:spacing w:line="360" w:lineRule="auto"/>
        <w:ind w:firstLine="1440" w:firstLineChars="400"/>
        <w:rPr>
          <w:rFonts w:hint="eastAsia" w:cs="宋体" w:asciiTheme="minorEastAsia" w:hAnsiTheme="minorEastAsia" w:eastAsiaTheme="minorEastAsia"/>
          <w:sz w:val="36"/>
          <w:szCs w:val="36"/>
          <w:lang w:eastAsia="zh-CN"/>
        </w:rPr>
      </w:pPr>
      <w:r>
        <w:rPr>
          <w:rFonts w:hint="eastAsia" w:cs="宋体" w:asciiTheme="minorEastAsia" w:hAnsiTheme="minorEastAsia" w:eastAsiaTheme="minorEastAsia"/>
          <w:sz w:val="36"/>
          <w:szCs w:val="36"/>
        </w:rPr>
        <w:t>项目编号：HRZ21A07</w:t>
      </w:r>
      <w:r>
        <w:rPr>
          <w:rFonts w:hint="eastAsia" w:cs="宋体" w:asciiTheme="minorEastAsia" w:hAnsiTheme="minorEastAsia" w:eastAsiaTheme="minorEastAsia"/>
          <w:sz w:val="36"/>
          <w:szCs w:val="36"/>
          <w:lang w:val="en-US" w:eastAsia="zh-CN"/>
        </w:rPr>
        <w:t>3</w:t>
      </w:r>
    </w:p>
    <w:p>
      <w:pPr>
        <w:spacing w:line="360" w:lineRule="auto"/>
        <w:ind w:firstLine="1440" w:firstLineChars="400"/>
        <w:outlineLvl w:val="0"/>
        <w:rPr>
          <w:rFonts w:hint="eastAsia" w:cs="宋体" w:asciiTheme="minorEastAsia" w:hAnsiTheme="minorEastAsia" w:eastAsiaTheme="minorEastAsia"/>
          <w:sz w:val="36"/>
          <w:szCs w:val="36"/>
        </w:rPr>
      </w:pPr>
      <w:r>
        <w:rPr>
          <w:rFonts w:hint="eastAsia" w:cs="宋体" w:asciiTheme="minorEastAsia" w:hAnsiTheme="minorEastAsia" w:eastAsiaTheme="minorEastAsia"/>
          <w:sz w:val="36"/>
          <w:szCs w:val="36"/>
        </w:rPr>
        <w:t>项 目 名 称 ：《秸秆树盘覆盖果园行间绿肥免耕综合技术示范》绿肥种子及病虫害绿色防控物资采购</w:t>
      </w:r>
    </w:p>
    <w:p>
      <w:pPr>
        <w:pStyle w:val="2"/>
        <w:ind w:left="560" w:firstLine="880"/>
        <w:rPr>
          <w:rFonts w:hint="eastAsia"/>
        </w:rPr>
      </w:pPr>
    </w:p>
    <w:p>
      <w:pPr>
        <w:pStyle w:val="2"/>
        <w:ind w:left="560" w:firstLine="880"/>
        <w:rPr>
          <w:rFonts w:hint="eastAsia"/>
        </w:rPr>
      </w:pPr>
    </w:p>
    <w:p>
      <w:pPr>
        <w:pStyle w:val="2"/>
        <w:ind w:left="560" w:firstLine="880"/>
      </w:pPr>
    </w:p>
    <w:p>
      <w:pPr>
        <w:spacing w:line="360" w:lineRule="auto"/>
        <w:ind w:firstLine="1440" w:firstLineChars="400"/>
        <w:rPr>
          <w:rFonts w:cs="宋体" w:asciiTheme="minorEastAsia" w:hAnsiTheme="minorEastAsia" w:eastAsiaTheme="minorEastAsia"/>
          <w:sz w:val="36"/>
          <w:szCs w:val="36"/>
        </w:rPr>
      </w:pPr>
      <w:r>
        <w:rPr>
          <w:rFonts w:hint="eastAsia" w:cs="宋体" w:asciiTheme="minorEastAsia" w:hAnsiTheme="minorEastAsia" w:eastAsiaTheme="minorEastAsia"/>
          <w:sz w:val="36"/>
          <w:szCs w:val="36"/>
        </w:rPr>
        <w:t>采   购   人：重庆市农业技术推广总站</w:t>
      </w:r>
    </w:p>
    <w:p>
      <w:pPr>
        <w:spacing w:line="360" w:lineRule="auto"/>
        <w:ind w:firstLine="1440" w:firstLineChars="400"/>
        <w:rPr>
          <w:rFonts w:cs="宋体" w:asciiTheme="minorEastAsia" w:hAnsiTheme="minorEastAsia" w:eastAsiaTheme="minorEastAsia"/>
          <w:sz w:val="36"/>
          <w:szCs w:val="36"/>
        </w:rPr>
      </w:pPr>
      <w:r>
        <w:rPr>
          <w:rFonts w:cs="宋体" w:asciiTheme="minorEastAsia" w:hAnsiTheme="minorEastAsia" w:eastAsiaTheme="minorEastAsia"/>
          <w:sz w:val="36"/>
          <w:szCs w:val="36"/>
        </w:rPr>
        <w:t>采购代理机构：</w:t>
      </w:r>
      <w:r>
        <w:rPr>
          <w:rFonts w:hint="eastAsia" w:cs="宋体" w:asciiTheme="minorEastAsia" w:hAnsiTheme="minorEastAsia" w:eastAsiaTheme="minorEastAsia"/>
          <w:sz w:val="36"/>
          <w:szCs w:val="36"/>
        </w:rPr>
        <w:t>重庆宏仁招标代理有限公司</w:t>
      </w:r>
    </w:p>
    <w:p>
      <w:pPr>
        <w:spacing w:line="360" w:lineRule="auto"/>
        <w:rPr>
          <w:rFonts w:asciiTheme="minorEastAsia" w:hAnsiTheme="minorEastAsia" w:eastAsiaTheme="minorEastAsia"/>
          <w:sz w:val="36"/>
          <w:szCs w:val="36"/>
        </w:rPr>
      </w:pPr>
    </w:p>
    <w:p>
      <w:pPr>
        <w:spacing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2021年7月</w:t>
      </w:r>
    </w:p>
    <w:p>
      <w:pPr>
        <w:spacing w:line="360" w:lineRule="auto"/>
        <w:jc w:val="center"/>
        <w:rPr>
          <w:rFonts w:cs="宋体" w:asciiTheme="minorEastAsia" w:hAnsiTheme="minorEastAsia" w:eastAsiaTheme="minorEastAsia"/>
          <w:sz w:val="36"/>
          <w:szCs w:val="36"/>
        </w:rPr>
      </w:pPr>
    </w:p>
    <w:p>
      <w:pPr>
        <w:spacing w:line="360" w:lineRule="auto"/>
        <w:jc w:val="center"/>
        <w:outlineLvl w:val="0"/>
        <w:rPr>
          <w:rFonts w:cs="宋体" w:asciiTheme="minorEastAsia" w:hAnsiTheme="minorEastAsia" w:eastAsiaTheme="minorEastAsia"/>
          <w:b/>
          <w:sz w:val="48"/>
          <w:szCs w:val="48"/>
        </w:rPr>
        <w:sectPr>
          <w:headerReference r:id="rId3" w:type="default"/>
          <w:pgSz w:w="11907" w:h="16840"/>
          <w:pgMar w:top="1134" w:right="1191" w:bottom="1021" w:left="1304" w:header="964" w:footer="992" w:gutter="0"/>
          <w:pgNumType w:fmt="numberInDash" w:start="0"/>
          <w:cols w:space="720" w:num="1"/>
          <w:docGrid w:linePitch="312" w:charSpace="0"/>
        </w:sectPr>
      </w:pPr>
    </w:p>
    <w:p>
      <w:pPr>
        <w:spacing w:line="360" w:lineRule="exact"/>
        <w:jc w:val="center"/>
        <w:outlineLvl w:val="0"/>
        <w:rPr>
          <w:rFonts w:cs="宋体" w:asciiTheme="minorEastAsia" w:hAnsiTheme="minorEastAsia" w:eastAsiaTheme="minorEastAsia"/>
          <w:b/>
          <w:sz w:val="48"/>
          <w:szCs w:val="48"/>
        </w:rPr>
      </w:pPr>
    </w:p>
    <w:p>
      <w:pPr>
        <w:spacing w:line="360" w:lineRule="auto"/>
        <w:jc w:val="center"/>
        <w:outlineLvl w:val="0"/>
        <w:rPr>
          <w:rFonts w:asciiTheme="minorEastAsia" w:hAnsiTheme="minorEastAsia" w:eastAsiaTheme="minorEastAsia"/>
          <w:b/>
          <w:sz w:val="48"/>
          <w:szCs w:val="48"/>
        </w:rPr>
      </w:pPr>
      <w:r>
        <w:rPr>
          <w:rFonts w:hint="eastAsia" w:cs="宋体" w:asciiTheme="minorEastAsia" w:hAnsiTheme="minorEastAsia" w:eastAsiaTheme="minorEastAsia"/>
          <w:b/>
          <w:sz w:val="48"/>
          <w:szCs w:val="48"/>
        </w:rPr>
        <w:t>目</w:t>
      </w:r>
      <w:r>
        <w:rPr>
          <w:rFonts w:cs="宋体" w:asciiTheme="minorEastAsia" w:hAnsiTheme="minorEastAsia" w:eastAsiaTheme="minorEastAsia"/>
          <w:b/>
          <w:sz w:val="48"/>
          <w:szCs w:val="48"/>
        </w:rPr>
        <w:t xml:space="preserve">  </w:t>
      </w:r>
      <w:r>
        <w:rPr>
          <w:rFonts w:hint="eastAsia" w:cs="宋体" w:asciiTheme="minorEastAsia" w:hAnsiTheme="minorEastAsia" w:eastAsiaTheme="minorEastAsia"/>
          <w:b/>
          <w:sz w:val="48"/>
          <w:szCs w:val="48"/>
        </w:rPr>
        <w:t>录</w:t>
      </w:r>
    </w:p>
    <w:p>
      <w:pPr>
        <w:pStyle w:val="46"/>
        <w:tabs>
          <w:tab w:val="right" w:leader="dot" w:pos="9412"/>
        </w:tabs>
      </w:pPr>
      <w:bookmarkStart w:id="0" w:name="_Toc12789052"/>
      <w:bookmarkStart w:id="1" w:name="_Toc11641050"/>
      <w:bookmarkStart w:id="2" w:name="_Toc487204770"/>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_Toc26913 </w:instrText>
      </w:r>
      <w:r>
        <w:rPr>
          <w:rFonts w:hint="eastAsia" w:ascii="宋体" w:hAnsi="宋体" w:cs="宋体"/>
          <w:szCs w:val="21"/>
        </w:rPr>
        <w:fldChar w:fldCharType="separate"/>
      </w:r>
      <w:r>
        <w:rPr>
          <w:rFonts w:hint="eastAsia" w:ascii="宋体" w:hAnsi="宋体" w:eastAsia="宋体" w:cs="宋体"/>
          <w:szCs w:val="44"/>
        </w:rPr>
        <w:t>第一篇 询价邀请书</w:t>
      </w:r>
      <w:r>
        <w:tab/>
      </w:r>
      <w:r>
        <w:fldChar w:fldCharType="begin"/>
      </w:r>
      <w:r>
        <w:instrText xml:space="preserve"> PAGEREF _Toc26913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_Toc2990 </w:instrText>
      </w:r>
      <w:r>
        <w:rPr>
          <w:rFonts w:hint="eastAsia" w:ascii="宋体" w:hAnsi="宋体" w:cs="宋体"/>
          <w:szCs w:val="21"/>
        </w:rPr>
        <w:fldChar w:fldCharType="separate"/>
      </w:r>
      <w:r>
        <w:rPr>
          <w:rFonts w:hint="eastAsia" w:ascii="宋体" w:hAnsi="宋体" w:cs="宋体"/>
          <w:szCs w:val="21"/>
        </w:rPr>
        <w:t>一</w:t>
      </w:r>
      <w:r>
        <w:rPr>
          <w:rFonts w:hint="eastAsia" w:ascii="宋体" w:hAnsi="宋体" w:cs="宋体"/>
          <w:szCs w:val="21"/>
          <w:lang w:eastAsia="zh-CN"/>
        </w:rPr>
        <w:t>、</w:t>
      </w:r>
      <w:r>
        <w:rPr>
          <w:rFonts w:hint="eastAsia" w:ascii="宋体" w:hAnsi="宋体" w:cs="宋体"/>
          <w:szCs w:val="21"/>
        </w:rPr>
        <w:t>询价内容</w:t>
      </w:r>
      <w:r>
        <w:tab/>
      </w:r>
      <w:r>
        <w:fldChar w:fldCharType="begin"/>
      </w:r>
      <w:r>
        <w:instrText xml:space="preserve"> PAGEREF _Toc2990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_Toc28223 </w:instrText>
      </w:r>
      <w:r>
        <w:rPr>
          <w:rFonts w:hint="eastAsia" w:ascii="宋体" w:hAnsi="宋体" w:cs="宋体"/>
          <w:szCs w:val="21"/>
        </w:rPr>
        <w:fldChar w:fldCharType="separate"/>
      </w:r>
      <w:r>
        <w:rPr>
          <w:rFonts w:hint="eastAsia" w:ascii="宋体" w:hAnsi="宋体" w:cs="宋体"/>
          <w:szCs w:val="21"/>
        </w:rPr>
        <w:t>二、资金来源</w:t>
      </w:r>
      <w:r>
        <w:tab/>
      </w:r>
      <w:r>
        <w:fldChar w:fldCharType="begin"/>
      </w:r>
      <w:r>
        <w:instrText xml:space="preserve"> PAGEREF _Toc28223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_Toc29779 </w:instrText>
      </w:r>
      <w:r>
        <w:rPr>
          <w:rFonts w:hint="eastAsia" w:ascii="宋体" w:hAnsi="宋体" w:cs="宋体"/>
          <w:szCs w:val="21"/>
        </w:rPr>
        <w:fldChar w:fldCharType="separate"/>
      </w:r>
      <w:r>
        <w:rPr>
          <w:rFonts w:hint="eastAsia" w:ascii="宋体" w:hAnsi="宋体" w:cs="宋体"/>
          <w:szCs w:val="21"/>
        </w:rPr>
        <w:t>三、资格要求</w:t>
      </w:r>
      <w:r>
        <w:tab/>
      </w:r>
      <w:r>
        <w:fldChar w:fldCharType="begin"/>
      </w:r>
      <w:r>
        <w:instrText xml:space="preserve"> PAGEREF _Toc29779 \h </w:instrText>
      </w:r>
      <w:r>
        <w:fldChar w:fldCharType="separate"/>
      </w:r>
      <w:r>
        <w:t>- 1 -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_Toc29555 </w:instrText>
      </w:r>
      <w:r>
        <w:rPr>
          <w:rFonts w:hint="eastAsia" w:ascii="宋体" w:hAnsi="宋体" w:cs="宋体"/>
          <w:szCs w:val="21"/>
        </w:rPr>
        <w:fldChar w:fldCharType="separate"/>
      </w:r>
      <w:r>
        <w:rPr>
          <w:rFonts w:hint="eastAsia" w:ascii="宋体" w:hAnsi="宋体" w:cs="宋体"/>
          <w:szCs w:val="21"/>
        </w:rPr>
        <w:t>五、保证金</w:t>
      </w:r>
      <w:r>
        <w:tab/>
      </w:r>
      <w:r>
        <w:fldChar w:fldCharType="begin"/>
      </w:r>
      <w:r>
        <w:instrText xml:space="preserve"> PAGEREF _Toc29555 \h </w:instrText>
      </w:r>
      <w:r>
        <w:fldChar w:fldCharType="separate"/>
      </w:r>
      <w:r>
        <w:t>- 2 -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_Toc12785 </w:instrText>
      </w:r>
      <w:r>
        <w:rPr>
          <w:rFonts w:hint="eastAsia" w:ascii="宋体" w:hAnsi="宋体" w:cs="宋体"/>
          <w:szCs w:val="21"/>
        </w:rPr>
        <w:fldChar w:fldCharType="separate"/>
      </w:r>
      <w:r>
        <w:rPr>
          <w:rFonts w:hint="eastAsia" w:ascii="宋体" w:hAnsi="宋体" w:cs="宋体"/>
          <w:szCs w:val="21"/>
        </w:rPr>
        <w:t>六、询价有关规定</w:t>
      </w:r>
      <w:r>
        <w:tab/>
      </w:r>
      <w:r>
        <w:fldChar w:fldCharType="begin"/>
      </w:r>
      <w:r>
        <w:instrText xml:space="preserve"> PAGEREF _Toc12785 \h </w:instrText>
      </w:r>
      <w:r>
        <w:fldChar w:fldCharType="separate"/>
      </w:r>
      <w:r>
        <w:t>- 2 -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_Toc13067 </w:instrText>
      </w:r>
      <w:r>
        <w:rPr>
          <w:rFonts w:hint="eastAsia" w:ascii="宋体" w:hAnsi="宋体" w:cs="宋体"/>
          <w:szCs w:val="21"/>
        </w:rPr>
        <w:fldChar w:fldCharType="separate"/>
      </w:r>
      <w:r>
        <w:rPr>
          <w:rFonts w:hint="eastAsia" w:ascii="宋体" w:hAnsi="宋体" w:cs="宋体"/>
          <w:szCs w:val="21"/>
        </w:rPr>
        <w:t>七、联系方式</w:t>
      </w:r>
      <w:r>
        <w:tab/>
      </w:r>
      <w:r>
        <w:fldChar w:fldCharType="begin"/>
      </w:r>
      <w:r>
        <w:instrText xml:space="preserve"> PAGEREF _Toc13067 \h </w:instrText>
      </w:r>
      <w:r>
        <w:fldChar w:fldCharType="separate"/>
      </w:r>
      <w:r>
        <w:t>- 3 -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_Toc26991 </w:instrText>
      </w:r>
      <w:r>
        <w:rPr>
          <w:rFonts w:hint="eastAsia" w:ascii="宋体" w:hAnsi="宋体" w:cs="宋体"/>
          <w:szCs w:val="21"/>
        </w:rPr>
        <w:fldChar w:fldCharType="separate"/>
      </w:r>
      <w:r>
        <w:rPr>
          <w:rFonts w:hint="eastAsia" w:ascii="宋体" w:hAnsi="宋体" w:eastAsia="宋体" w:cs="宋体"/>
          <w:szCs w:val="44"/>
        </w:rPr>
        <w:t>第二篇 供应商须知</w:t>
      </w:r>
      <w:r>
        <w:tab/>
      </w:r>
      <w:r>
        <w:fldChar w:fldCharType="begin"/>
      </w:r>
      <w:r>
        <w:instrText xml:space="preserve"> PAGEREF _Toc26991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_Toc2784 </w:instrText>
      </w:r>
      <w:r>
        <w:rPr>
          <w:rFonts w:hint="eastAsia" w:ascii="宋体" w:hAnsi="宋体" w:cs="宋体"/>
          <w:szCs w:val="21"/>
        </w:rPr>
        <w:fldChar w:fldCharType="separate"/>
      </w:r>
      <w:r>
        <w:rPr>
          <w:rFonts w:hint="eastAsia" w:ascii="宋体" w:hAnsi="宋体" w:cs="宋体"/>
          <w:szCs w:val="21"/>
        </w:rPr>
        <w:t>一、询价费用</w:t>
      </w:r>
      <w:r>
        <w:tab/>
      </w:r>
      <w:r>
        <w:fldChar w:fldCharType="begin"/>
      </w:r>
      <w:r>
        <w:instrText xml:space="preserve"> PAGEREF _Toc2784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_Toc17314 </w:instrText>
      </w:r>
      <w:r>
        <w:rPr>
          <w:rFonts w:hint="eastAsia" w:ascii="宋体" w:hAnsi="宋体" w:cs="宋体"/>
          <w:szCs w:val="21"/>
        </w:rPr>
        <w:fldChar w:fldCharType="separate"/>
      </w:r>
      <w:r>
        <w:rPr>
          <w:rFonts w:hint="eastAsia" w:ascii="宋体" w:hAnsi="宋体" w:cs="宋体"/>
          <w:szCs w:val="21"/>
        </w:rPr>
        <w:t>二、询价通知书</w:t>
      </w:r>
      <w:r>
        <w:tab/>
      </w:r>
      <w:r>
        <w:fldChar w:fldCharType="begin"/>
      </w:r>
      <w:r>
        <w:instrText xml:space="preserve"> PAGEREF _Toc17314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_Toc16714 </w:instrText>
      </w:r>
      <w:r>
        <w:rPr>
          <w:rFonts w:hint="eastAsia" w:ascii="宋体" w:hAnsi="宋体" w:cs="宋体"/>
          <w:szCs w:val="21"/>
        </w:rPr>
        <w:fldChar w:fldCharType="separate"/>
      </w:r>
      <w:r>
        <w:rPr>
          <w:rFonts w:hint="eastAsia" w:ascii="宋体" w:hAnsi="宋体" w:cs="宋体"/>
          <w:szCs w:val="21"/>
        </w:rPr>
        <w:t>三、询价要求</w:t>
      </w:r>
      <w:r>
        <w:tab/>
      </w:r>
      <w:r>
        <w:fldChar w:fldCharType="begin"/>
      </w:r>
      <w:r>
        <w:instrText xml:space="preserve"> PAGEREF _Toc16714 \h </w:instrText>
      </w:r>
      <w:r>
        <w:fldChar w:fldCharType="separate"/>
      </w:r>
      <w:r>
        <w:t>- 5 -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_Toc4857 </w:instrText>
      </w:r>
      <w:r>
        <w:rPr>
          <w:rFonts w:hint="eastAsia" w:ascii="宋体" w:hAnsi="宋体" w:cs="宋体"/>
          <w:szCs w:val="21"/>
        </w:rPr>
        <w:fldChar w:fldCharType="separate"/>
      </w:r>
      <w:r>
        <w:rPr>
          <w:rFonts w:hint="eastAsia" w:ascii="宋体" w:hAnsi="宋体" w:cs="宋体"/>
          <w:szCs w:val="21"/>
        </w:rPr>
        <w:t>四、询价程序及成交标准</w:t>
      </w:r>
      <w:r>
        <w:tab/>
      </w:r>
      <w:r>
        <w:fldChar w:fldCharType="begin"/>
      </w:r>
      <w:r>
        <w:instrText xml:space="preserve"> PAGEREF _Toc4857 \h </w:instrText>
      </w:r>
      <w:r>
        <w:fldChar w:fldCharType="separate"/>
      </w:r>
      <w:r>
        <w:t>- 8 -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_Toc13992 </w:instrText>
      </w:r>
      <w:r>
        <w:rPr>
          <w:rFonts w:hint="eastAsia" w:ascii="宋体" w:hAnsi="宋体" w:cs="宋体"/>
          <w:szCs w:val="21"/>
        </w:rPr>
        <w:fldChar w:fldCharType="separate"/>
      </w:r>
      <w:r>
        <w:rPr>
          <w:rFonts w:hint="eastAsia" w:ascii="宋体" w:hAnsi="宋体" w:cs="宋体"/>
          <w:bCs/>
          <w:szCs w:val="21"/>
        </w:rPr>
        <w:t>五、对技术和商务部分的评审</w:t>
      </w:r>
      <w:r>
        <w:tab/>
      </w:r>
      <w:r>
        <w:fldChar w:fldCharType="begin"/>
      </w:r>
      <w:r>
        <w:instrText xml:space="preserve"> PAGEREF _Toc13992 \h </w:instrText>
      </w:r>
      <w:r>
        <w:fldChar w:fldCharType="separate"/>
      </w:r>
      <w:r>
        <w:t>- 10 -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_Toc22357 </w:instrText>
      </w:r>
      <w:r>
        <w:rPr>
          <w:rFonts w:hint="eastAsia" w:ascii="宋体" w:hAnsi="宋体" w:cs="宋体"/>
          <w:szCs w:val="21"/>
        </w:rPr>
        <w:fldChar w:fldCharType="separate"/>
      </w:r>
      <w:r>
        <w:rPr>
          <w:rFonts w:hint="eastAsia" w:ascii="宋体" w:hAnsi="宋体" w:cs="宋体"/>
          <w:bCs/>
          <w:szCs w:val="21"/>
          <w:lang w:val="en-US" w:eastAsia="zh-CN"/>
        </w:rPr>
        <w:t>六</w:t>
      </w:r>
      <w:r>
        <w:rPr>
          <w:rFonts w:hint="eastAsia" w:ascii="宋体" w:hAnsi="宋体" w:cs="宋体"/>
          <w:bCs/>
          <w:szCs w:val="21"/>
        </w:rPr>
        <w:t>、成交标准</w:t>
      </w:r>
      <w:r>
        <w:tab/>
      </w:r>
      <w:r>
        <w:fldChar w:fldCharType="begin"/>
      </w:r>
      <w:r>
        <w:instrText xml:space="preserve"> PAGEREF _Toc22357 \h </w:instrText>
      </w:r>
      <w:r>
        <w:fldChar w:fldCharType="separate"/>
      </w:r>
      <w:r>
        <w:t>- 10 -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_Toc4178 </w:instrText>
      </w:r>
      <w:r>
        <w:rPr>
          <w:rFonts w:hint="eastAsia" w:ascii="宋体" w:hAnsi="宋体" w:cs="宋体"/>
          <w:szCs w:val="21"/>
        </w:rPr>
        <w:fldChar w:fldCharType="separate"/>
      </w:r>
      <w:r>
        <w:rPr>
          <w:rFonts w:hint="eastAsia" w:ascii="宋体" w:hAnsi="宋体" w:cs="宋体"/>
          <w:szCs w:val="21"/>
          <w:lang w:val="en-US" w:eastAsia="zh-CN"/>
        </w:rPr>
        <w:t>七</w:t>
      </w:r>
      <w:r>
        <w:rPr>
          <w:rFonts w:hint="eastAsia" w:ascii="宋体" w:hAnsi="宋体" w:cs="宋体"/>
          <w:szCs w:val="21"/>
        </w:rPr>
        <w:t>、评审依据</w:t>
      </w:r>
      <w:r>
        <w:tab/>
      </w:r>
      <w:r>
        <w:fldChar w:fldCharType="begin"/>
      </w:r>
      <w:r>
        <w:instrText xml:space="preserve"> PAGEREF _Toc4178 \h </w:instrText>
      </w:r>
      <w:r>
        <w:fldChar w:fldCharType="separate"/>
      </w:r>
      <w:r>
        <w:t>- 11 -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_Toc6593 </w:instrText>
      </w:r>
      <w:r>
        <w:rPr>
          <w:rFonts w:hint="eastAsia" w:ascii="宋体" w:hAnsi="宋体" w:cs="宋体"/>
          <w:szCs w:val="21"/>
        </w:rPr>
        <w:fldChar w:fldCharType="separate"/>
      </w:r>
      <w:r>
        <w:rPr>
          <w:rFonts w:hint="eastAsia" w:ascii="宋体" w:hAnsi="宋体" w:cs="宋体"/>
          <w:szCs w:val="21"/>
          <w:lang w:val="en-US" w:eastAsia="zh-CN"/>
        </w:rPr>
        <w:t>八</w:t>
      </w:r>
      <w:r>
        <w:rPr>
          <w:rFonts w:hint="eastAsia" w:ascii="宋体" w:hAnsi="宋体" w:cs="宋体"/>
          <w:szCs w:val="21"/>
        </w:rPr>
        <w:t>、成交通知</w:t>
      </w:r>
      <w:r>
        <w:tab/>
      </w:r>
      <w:r>
        <w:fldChar w:fldCharType="begin"/>
      </w:r>
      <w:r>
        <w:instrText xml:space="preserve"> PAGEREF _Toc6593 \h </w:instrText>
      </w:r>
      <w:r>
        <w:fldChar w:fldCharType="separate"/>
      </w:r>
      <w:r>
        <w:t>- 11 -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_Toc4076 </w:instrText>
      </w:r>
      <w:r>
        <w:rPr>
          <w:rFonts w:hint="eastAsia" w:ascii="宋体" w:hAnsi="宋体" w:cs="宋体"/>
          <w:szCs w:val="21"/>
        </w:rPr>
        <w:fldChar w:fldCharType="separate"/>
      </w:r>
      <w:r>
        <w:rPr>
          <w:rFonts w:hint="eastAsia" w:ascii="宋体" w:hAnsi="宋体" w:cs="宋体"/>
          <w:szCs w:val="21"/>
          <w:lang w:val="en-US" w:eastAsia="zh-CN"/>
        </w:rPr>
        <w:t>九</w:t>
      </w:r>
      <w:r>
        <w:rPr>
          <w:rFonts w:hint="eastAsia" w:ascii="宋体" w:hAnsi="宋体" w:cs="宋体"/>
          <w:szCs w:val="21"/>
        </w:rPr>
        <w:t>、关于质疑和投诉</w:t>
      </w:r>
      <w:r>
        <w:tab/>
      </w:r>
      <w:r>
        <w:fldChar w:fldCharType="begin"/>
      </w:r>
      <w:r>
        <w:instrText xml:space="preserve"> PAGEREF _Toc4076 \h </w:instrText>
      </w:r>
      <w:r>
        <w:fldChar w:fldCharType="separate"/>
      </w:r>
      <w:r>
        <w:t>- 11 -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_Toc9973 </w:instrText>
      </w:r>
      <w:r>
        <w:rPr>
          <w:rFonts w:hint="eastAsia" w:ascii="宋体" w:hAnsi="宋体" w:cs="宋体"/>
          <w:szCs w:val="21"/>
        </w:rPr>
        <w:fldChar w:fldCharType="separate"/>
      </w:r>
      <w:r>
        <w:rPr>
          <w:rFonts w:hint="eastAsia" w:ascii="宋体" w:hAnsi="宋体" w:cs="宋体"/>
          <w:szCs w:val="21"/>
        </w:rPr>
        <w:t>十、签订合同</w:t>
      </w:r>
      <w:r>
        <w:tab/>
      </w:r>
      <w:r>
        <w:fldChar w:fldCharType="begin"/>
      </w:r>
      <w:r>
        <w:instrText xml:space="preserve"> PAGEREF _Toc9973 \h </w:instrText>
      </w:r>
      <w:r>
        <w:fldChar w:fldCharType="separate"/>
      </w:r>
      <w:r>
        <w:t>- 12 -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_Toc8813 </w:instrText>
      </w:r>
      <w:r>
        <w:rPr>
          <w:rFonts w:hint="eastAsia" w:ascii="宋体" w:hAnsi="宋体" w:cs="宋体"/>
          <w:szCs w:val="21"/>
        </w:rPr>
        <w:fldChar w:fldCharType="separate"/>
      </w:r>
      <w:r>
        <w:rPr>
          <w:rFonts w:hint="eastAsia" w:ascii="宋体" w:hAnsi="宋体" w:eastAsia="宋体" w:cs="宋体"/>
          <w:szCs w:val="44"/>
        </w:rPr>
        <w:t>第三篇 询价项目技术需求</w:t>
      </w:r>
      <w:r>
        <w:tab/>
      </w:r>
      <w:r>
        <w:fldChar w:fldCharType="begin"/>
      </w:r>
      <w:r>
        <w:instrText xml:space="preserve"> PAGEREF _Toc8813 \h </w:instrText>
      </w:r>
      <w:r>
        <w:fldChar w:fldCharType="separate"/>
      </w:r>
      <w:r>
        <w:t>- 13 -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_Toc9914 </w:instrText>
      </w:r>
      <w:r>
        <w:rPr>
          <w:rFonts w:hint="eastAsia" w:ascii="宋体" w:hAnsi="宋体" w:cs="宋体"/>
          <w:szCs w:val="21"/>
        </w:rPr>
        <w:fldChar w:fldCharType="separate"/>
      </w:r>
      <w:r>
        <w:rPr>
          <w:rFonts w:hint="eastAsia" w:ascii="宋体" w:hAnsi="宋体" w:cs="宋体"/>
          <w:szCs w:val="21"/>
        </w:rPr>
        <w:t>一、采购清单</w:t>
      </w:r>
      <w:r>
        <w:tab/>
      </w:r>
      <w:r>
        <w:fldChar w:fldCharType="begin"/>
      </w:r>
      <w:r>
        <w:instrText xml:space="preserve"> PAGEREF _Toc9914 \h </w:instrText>
      </w:r>
      <w:r>
        <w:fldChar w:fldCharType="separate"/>
      </w:r>
      <w:r>
        <w:t>- 13 -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_Toc19555 </w:instrText>
      </w:r>
      <w:r>
        <w:rPr>
          <w:rFonts w:hint="eastAsia" w:ascii="宋体" w:hAnsi="宋体" w:cs="宋体"/>
          <w:szCs w:val="21"/>
        </w:rPr>
        <w:fldChar w:fldCharType="separate"/>
      </w:r>
      <w:r>
        <w:rPr>
          <w:rFonts w:hint="eastAsia" w:ascii="宋体" w:hAnsi="宋体" w:cs="宋体"/>
          <w:szCs w:val="21"/>
        </w:rPr>
        <w:t>二、具体技术指标</w:t>
      </w:r>
      <w:r>
        <w:tab/>
      </w:r>
      <w:r>
        <w:fldChar w:fldCharType="begin"/>
      </w:r>
      <w:r>
        <w:instrText xml:space="preserve"> PAGEREF _Toc19555 \h </w:instrText>
      </w:r>
      <w:r>
        <w:fldChar w:fldCharType="separate"/>
      </w:r>
      <w:r>
        <w:t>- 13 -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_Toc16302 </w:instrText>
      </w:r>
      <w:r>
        <w:rPr>
          <w:rFonts w:hint="eastAsia" w:ascii="宋体" w:hAnsi="宋体" w:cs="宋体"/>
          <w:szCs w:val="21"/>
        </w:rPr>
        <w:fldChar w:fldCharType="separate"/>
      </w:r>
      <w:r>
        <w:rPr>
          <w:rFonts w:hint="eastAsia" w:ascii="宋体" w:hAnsi="宋体" w:eastAsia="宋体" w:cs="宋体"/>
          <w:szCs w:val="44"/>
        </w:rPr>
        <w:t>第四篇 询价项目商务需求</w:t>
      </w:r>
      <w:r>
        <w:tab/>
      </w:r>
      <w:r>
        <w:fldChar w:fldCharType="begin"/>
      </w:r>
      <w:r>
        <w:instrText xml:space="preserve"> PAGEREF _Toc16302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_Toc1325 </w:instrText>
      </w:r>
      <w:r>
        <w:rPr>
          <w:rFonts w:hint="eastAsia" w:ascii="宋体" w:hAnsi="宋体" w:cs="宋体"/>
          <w:szCs w:val="21"/>
        </w:rPr>
        <w:fldChar w:fldCharType="separate"/>
      </w:r>
      <w:r>
        <w:rPr>
          <w:rFonts w:hint="eastAsia" w:ascii="宋体" w:hAnsi="宋体" w:cs="宋体"/>
          <w:szCs w:val="21"/>
        </w:rPr>
        <w:t>一、交货时间、地点及验收方式</w:t>
      </w:r>
      <w:r>
        <w:tab/>
      </w:r>
      <w:r>
        <w:fldChar w:fldCharType="begin"/>
      </w:r>
      <w:r>
        <w:instrText xml:space="preserve"> PAGEREF _Toc1325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_Toc12797 </w:instrText>
      </w:r>
      <w:r>
        <w:rPr>
          <w:rFonts w:hint="eastAsia" w:ascii="宋体" w:hAnsi="宋体" w:cs="宋体"/>
          <w:szCs w:val="21"/>
        </w:rPr>
        <w:fldChar w:fldCharType="separate"/>
      </w:r>
      <w:r>
        <w:rPr>
          <w:rFonts w:hint="eastAsia" w:ascii="宋体" w:hAnsi="宋体" w:cs="宋体"/>
          <w:szCs w:val="21"/>
        </w:rPr>
        <w:t>二、报价要求</w:t>
      </w:r>
      <w:r>
        <w:tab/>
      </w:r>
      <w:r>
        <w:fldChar w:fldCharType="begin"/>
      </w:r>
      <w:r>
        <w:instrText xml:space="preserve"> PAGEREF _Toc12797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_Toc24910 </w:instrText>
      </w:r>
      <w:r>
        <w:rPr>
          <w:rFonts w:hint="eastAsia" w:ascii="宋体" w:hAnsi="宋体" w:cs="宋体"/>
          <w:szCs w:val="21"/>
        </w:rPr>
        <w:fldChar w:fldCharType="separate"/>
      </w:r>
      <w:r>
        <w:rPr>
          <w:rFonts w:hint="eastAsia" w:ascii="宋体" w:hAnsi="宋体" w:cs="宋体"/>
          <w:szCs w:val="21"/>
        </w:rPr>
        <w:t>三、质量保证及售后服务</w:t>
      </w:r>
      <w:r>
        <w:tab/>
      </w:r>
      <w:r>
        <w:fldChar w:fldCharType="begin"/>
      </w:r>
      <w:r>
        <w:instrText xml:space="preserve"> PAGEREF _Toc24910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_Toc26889 </w:instrText>
      </w:r>
      <w:r>
        <w:rPr>
          <w:rFonts w:hint="eastAsia" w:ascii="宋体" w:hAnsi="宋体" w:cs="宋体"/>
          <w:szCs w:val="21"/>
        </w:rPr>
        <w:fldChar w:fldCharType="separate"/>
      </w:r>
      <w:r>
        <w:rPr>
          <w:rFonts w:hint="eastAsia" w:ascii="宋体" w:hAnsi="宋体" w:cs="宋体"/>
          <w:szCs w:val="21"/>
        </w:rPr>
        <w:t>四、付款方式：</w:t>
      </w:r>
      <w:r>
        <w:tab/>
      </w:r>
      <w:r>
        <w:fldChar w:fldCharType="begin"/>
      </w:r>
      <w:r>
        <w:instrText xml:space="preserve"> PAGEREF _Toc26889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_Toc11264 </w:instrText>
      </w:r>
      <w:r>
        <w:rPr>
          <w:rFonts w:hint="eastAsia" w:ascii="宋体" w:hAnsi="宋体" w:cs="宋体"/>
          <w:szCs w:val="21"/>
        </w:rPr>
        <w:fldChar w:fldCharType="separate"/>
      </w:r>
      <w:r>
        <w:rPr>
          <w:rFonts w:hint="eastAsia" w:ascii="宋体" w:hAnsi="宋体" w:cs="宋体"/>
          <w:szCs w:val="21"/>
        </w:rPr>
        <w:t>五、知识产权</w:t>
      </w:r>
      <w:r>
        <w:tab/>
      </w:r>
      <w:r>
        <w:fldChar w:fldCharType="begin"/>
      </w:r>
      <w:r>
        <w:instrText xml:space="preserve"> PAGEREF _Toc11264 \h </w:instrText>
      </w:r>
      <w:r>
        <w:fldChar w:fldCharType="separate"/>
      </w:r>
      <w:r>
        <w:t>- 15 -</w:t>
      </w:r>
      <w:r>
        <w:fldChar w:fldCharType="end"/>
      </w:r>
      <w:r>
        <w:rPr>
          <w:rFonts w:hint="eastAsia" w:ascii="宋体" w:hAnsi="宋体" w:cs="宋体"/>
          <w:szCs w:val="21"/>
        </w:rPr>
        <w:fldChar w:fldCharType="end"/>
      </w:r>
    </w:p>
    <w:p>
      <w:pPr>
        <w:pStyle w:val="30"/>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_Toc17169 </w:instrText>
      </w:r>
      <w:r>
        <w:rPr>
          <w:rFonts w:hint="eastAsia" w:ascii="宋体" w:hAnsi="宋体" w:cs="宋体"/>
          <w:szCs w:val="21"/>
        </w:rPr>
        <w:fldChar w:fldCharType="separate"/>
      </w:r>
      <w:r>
        <w:rPr>
          <w:rFonts w:hint="eastAsia" w:ascii="宋体" w:hAnsi="宋体" w:cs="宋体"/>
          <w:szCs w:val="21"/>
        </w:rPr>
        <w:t>六、其他</w:t>
      </w:r>
      <w:r>
        <w:tab/>
      </w:r>
      <w:r>
        <w:fldChar w:fldCharType="begin"/>
      </w:r>
      <w:r>
        <w:instrText xml:space="preserve"> PAGEREF _Toc17169 \h </w:instrText>
      </w:r>
      <w:r>
        <w:fldChar w:fldCharType="separate"/>
      </w:r>
      <w:r>
        <w:t>- 15 -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_Toc21166 </w:instrText>
      </w:r>
      <w:r>
        <w:rPr>
          <w:rFonts w:hint="eastAsia" w:ascii="宋体" w:hAnsi="宋体" w:cs="宋体"/>
          <w:szCs w:val="21"/>
        </w:rPr>
        <w:fldChar w:fldCharType="separate"/>
      </w:r>
      <w:r>
        <w:rPr>
          <w:rFonts w:hint="eastAsia" w:ascii="宋体" w:hAnsi="宋体" w:eastAsia="宋体" w:cs="宋体"/>
          <w:szCs w:val="44"/>
        </w:rPr>
        <w:t>第五篇 合同草案条款</w:t>
      </w:r>
      <w:r>
        <w:tab/>
      </w:r>
      <w:r>
        <w:fldChar w:fldCharType="begin"/>
      </w:r>
      <w:r>
        <w:instrText xml:space="preserve"> PAGEREF _Toc21166 \h </w:instrText>
      </w:r>
      <w:r>
        <w:fldChar w:fldCharType="separate"/>
      </w:r>
      <w:r>
        <w:t>- 16 -</w:t>
      </w:r>
      <w:r>
        <w:fldChar w:fldCharType="end"/>
      </w:r>
      <w:r>
        <w:rPr>
          <w:rFonts w:hint="eastAsia" w:ascii="宋体" w:hAnsi="宋体" w:cs="宋体"/>
          <w:szCs w:val="21"/>
        </w:rPr>
        <w:fldChar w:fldCharType="end"/>
      </w:r>
    </w:p>
    <w:p>
      <w:pPr>
        <w:pStyle w:val="46"/>
        <w:tabs>
          <w:tab w:val="right" w:leader="dot" w:pos="9412"/>
        </w:tabs>
      </w:pPr>
      <w:r>
        <w:rPr>
          <w:rFonts w:hint="eastAsia" w:ascii="宋体" w:hAnsi="宋体" w:cs="宋体"/>
          <w:szCs w:val="21"/>
        </w:rPr>
        <w:fldChar w:fldCharType="begin"/>
      </w:r>
      <w:r>
        <w:rPr>
          <w:rFonts w:hint="eastAsia" w:ascii="宋体" w:hAnsi="宋体" w:cs="宋体"/>
          <w:szCs w:val="21"/>
        </w:rPr>
        <w:instrText xml:space="preserve"> HYPERLINK \l _Toc1881 </w:instrText>
      </w:r>
      <w:r>
        <w:rPr>
          <w:rFonts w:hint="eastAsia" w:ascii="宋体" w:hAnsi="宋体" w:cs="宋体"/>
          <w:szCs w:val="21"/>
        </w:rPr>
        <w:fldChar w:fldCharType="separate"/>
      </w:r>
      <w:r>
        <w:rPr>
          <w:rFonts w:hint="eastAsia" w:ascii="宋体" w:hAnsi="宋体" w:eastAsia="宋体" w:cs="宋体"/>
          <w:szCs w:val="44"/>
        </w:rPr>
        <w:t>第六篇 响应文件格式要求</w:t>
      </w:r>
      <w:r>
        <w:tab/>
      </w:r>
      <w:r>
        <w:fldChar w:fldCharType="begin"/>
      </w:r>
      <w:r>
        <w:instrText xml:space="preserve"> PAGEREF _Toc1881 \h </w:instrText>
      </w:r>
      <w:r>
        <w:fldChar w:fldCharType="separate"/>
      </w:r>
      <w:r>
        <w:t>- 20 -</w:t>
      </w:r>
      <w:r>
        <w:fldChar w:fldCharType="end"/>
      </w:r>
      <w:r>
        <w:rPr>
          <w:rFonts w:hint="eastAsia" w:ascii="宋体" w:hAnsi="宋体" w:cs="宋体"/>
          <w:szCs w:val="21"/>
        </w:rPr>
        <w:fldChar w:fldCharType="end"/>
      </w:r>
    </w:p>
    <w:p>
      <w:pPr>
        <w:pStyle w:val="46"/>
        <w:tabs>
          <w:tab w:val="right" w:leader="dot" w:pos="9402"/>
        </w:tabs>
        <w:spacing w:line="360" w:lineRule="exact"/>
        <w:ind w:left="560" w:firstLine="2240" w:firstLineChars="800"/>
        <w:rPr>
          <w:rFonts w:ascii="宋体" w:hAnsi="宋体" w:cs="宋体"/>
          <w:b/>
          <w:sz w:val="21"/>
          <w:szCs w:val="21"/>
        </w:rPr>
        <w:sectPr>
          <w:footerReference r:id="rId4" w:type="default"/>
          <w:pgSz w:w="11907" w:h="16840"/>
          <w:pgMar w:top="1134" w:right="1191" w:bottom="1021" w:left="1304" w:header="964" w:footer="992" w:gutter="0"/>
          <w:pgNumType w:fmt="numberInDash" w:start="1"/>
          <w:cols w:space="720" w:num="1"/>
          <w:docGrid w:linePitch="312" w:charSpace="0"/>
        </w:sectPr>
      </w:pPr>
      <w:r>
        <w:rPr>
          <w:rFonts w:hint="eastAsia" w:ascii="宋体" w:hAnsi="宋体" w:cs="宋体"/>
          <w:szCs w:val="21"/>
        </w:rPr>
        <w:fldChar w:fldCharType="end"/>
      </w:r>
      <w:bookmarkStart w:id="3" w:name="_Toc9956"/>
      <w:bookmarkStart w:id="4" w:name="_Toc521318162"/>
      <w:bookmarkStart w:id="5" w:name="_Toc31206"/>
    </w:p>
    <w:p>
      <w:pPr>
        <w:pStyle w:val="5"/>
        <w:spacing w:before="0" w:after="0" w:line="360" w:lineRule="auto"/>
        <w:jc w:val="center"/>
        <w:rPr>
          <w:rFonts w:ascii="宋体" w:hAnsi="宋体" w:eastAsia="宋体" w:cs="宋体"/>
          <w:sz w:val="44"/>
          <w:szCs w:val="44"/>
        </w:rPr>
      </w:pPr>
      <w:bookmarkStart w:id="6" w:name="_Toc26913"/>
      <w:r>
        <w:rPr>
          <w:rFonts w:hint="eastAsia" w:ascii="宋体" w:hAnsi="宋体" w:eastAsia="宋体" w:cs="宋体"/>
          <w:sz w:val="44"/>
          <w:szCs w:val="44"/>
        </w:rPr>
        <w:t>第一篇 询价邀请书</w:t>
      </w:r>
      <w:bookmarkEnd w:id="0"/>
      <w:bookmarkEnd w:id="1"/>
      <w:bookmarkEnd w:id="2"/>
      <w:bookmarkEnd w:id="3"/>
      <w:bookmarkEnd w:id="4"/>
      <w:bookmarkEnd w:id="5"/>
      <w:bookmarkEnd w:id="6"/>
    </w:p>
    <w:p>
      <w:pPr>
        <w:pStyle w:val="193"/>
        <w:spacing w:line="360" w:lineRule="auto"/>
        <w:ind w:firstLine="420" w:firstLineChars="200"/>
        <w:rPr>
          <w:rFonts w:hAnsi="宋体"/>
        </w:rPr>
      </w:pPr>
      <w:bookmarkStart w:id="7" w:name="_Toc313893526"/>
      <w:bookmarkStart w:id="8" w:name="_Toc9167"/>
      <w:bookmarkStart w:id="9" w:name="_Toc317775175"/>
      <w:bookmarkStart w:id="10" w:name="_Toc487204771"/>
      <w:bookmarkStart w:id="11" w:name="_Toc521318163"/>
      <w:bookmarkStart w:id="12" w:name="_Toc20343"/>
      <w:r>
        <w:rPr>
          <w:rFonts w:hint="eastAsia" w:hAnsi="宋体"/>
        </w:rPr>
        <w:t>重庆宏仁招标代理有限公司（以下简称</w:t>
      </w:r>
      <w:r>
        <w:rPr>
          <w:rFonts w:hint="eastAsia" w:hAnsi="宋体"/>
          <w:lang w:eastAsia="zh-CN"/>
        </w:rPr>
        <w:t>“</w:t>
      </w:r>
      <w:r>
        <w:rPr>
          <w:rFonts w:hint="eastAsia" w:hAnsi="宋体"/>
        </w:rPr>
        <w:t>采购代理机构</w:t>
      </w:r>
      <w:r>
        <w:rPr>
          <w:rFonts w:hint="eastAsia" w:hAnsi="宋体"/>
          <w:lang w:eastAsia="zh-CN"/>
        </w:rPr>
        <w:t>”</w:t>
      </w:r>
      <w:r>
        <w:rPr>
          <w:rFonts w:hint="eastAsia" w:hAnsi="宋体"/>
        </w:rPr>
        <w:t>）接受重庆市农业技术推广总站（以下简称</w:t>
      </w:r>
      <w:r>
        <w:rPr>
          <w:rFonts w:hint="eastAsia" w:hAnsi="宋体"/>
          <w:lang w:eastAsia="zh-CN"/>
        </w:rPr>
        <w:t>“</w:t>
      </w:r>
      <w:r>
        <w:rPr>
          <w:rFonts w:hint="eastAsia" w:hAnsi="宋体"/>
        </w:rPr>
        <w:t>采购</w:t>
      </w:r>
      <w:r>
        <w:rPr>
          <w:rFonts w:hint="eastAsia" w:hAnsi="宋体"/>
          <w:lang w:val="en-US" w:eastAsia="zh-CN"/>
        </w:rPr>
        <w:t>人</w:t>
      </w:r>
      <w:r>
        <w:rPr>
          <w:rFonts w:hint="eastAsia" w:hAnsi="宋体"/>
          <w:lang w:eastAsia="zh-CN"/>
        </w:rPr>
        <w:t>”</w:t>
      </w:r>
      <w:r>
        <w:rPr>
          <w:rFonts w:hint="eastAsia" w:hAnsi="宋体"/>
        </w:rPr>
        <w:t>）的委托，对《秸秆树盘覆盖果园行间绿肥免耕综合技术示范》绿肥种子及病虫害绿色防控物资采购进行询价采购。欢迎有资格的供应商前来参加。</w:t>
      </w:r>
    </w:p>
    <w:p>
      <w:pPr>
        <w:pStyle w:val="6"/>
        <w:spacing w:before="0" w:after="0" w:line="360" w:lineRule="auto"/>
        <w:rPr>
          <w:rFonts w:ascii="宋体" w:hAnsi="宋体" w:cs="宋体"/>
          <w:sz w:val="21"/>
          <w:szCs w:val="21"/>
        </w:rPr>
      </w:pPr>
      <w:bookmarkStart w:id="13" w:name="_Toc2990"/>
      <w:r>
        <w:rPr>
          <w:rFonts w:hint="eastAsia" w:ascii="宋体" w:hAnsi="宋体" w:cs="宋体"/>
          <w:sz w:val="21"/>
          <w:szCs w:val="21"/>
        </w:rPr>
        <w:t>一</w:t>
      </w:r>
      <w:r>
        <w:rPr>
          <w:rFonts w:hint="eastAsia" w:ascii="宋体" w:hAnsi="宋体" w:cs="宋体"/>
          <w:sz w:val="21"/>
          <w:szCs w:val="21"/>
          <w:lang w:eastAsia="zh-CN"/>
        </w:rPr>
        <w:t>、</w:t>
      </w:r>
      <w:r>
        <w:rPr>
          <w:rFonts w:hint="eastAsia" w:ascii="宋体" w:hAnsi="宋体" w:cs="宋体"/>
          <w:sz w:val="21"/>
          <w:szCs w:val="21"/>
        </w:rPr>
        <w:t>询价内容</w:t>
      </w:r>
      <w:bookmarkEnd w:id="7"/>
      <w:bookmarkEnd w:id="8"/>
      <w:bookmarkEnd w:id="9"/>
      <w:bookmarkEnd w:id="10"/>
      <w:bookmarkEnd w:id="11"/>
      <w:bookmarkEnd w:id="12"/>
      <w:bookmarkEnd w:id="13"/>
    </w:p>
    <w:tbl>
      <w:tblPr>
        <w:tblStyle w:val="57"/>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4166"/>
        <w:gridCol w:w="1000"/>
        <w:gridCol w:w="1286"/>
        <w:gridCol w:w="122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0" w:type="dxa"/>
            <w:vAlign w:val="center"/>
          </w:tcPr>
          <w:p>
            <w:pPr>
              <w:widowControl/>
              <w:spacing w:line="360" w:lineRule="auto"/>
              <w:jc w:val="center"/>
              <w:rPr>
                <w:rFonts w:ascii="宋体" w:hAnsi="宋体" w:cs="宋体"/>
                <w:b/>
                <w:sz w:val="21"/>
                <w:szCs w:val="21"/>
              </w:rPr>
            </w:pPr>
            <w:r>
              <w:rPr>
                <w:rFonts w:hint="eastAsia" w:ascii="宋体" w:hAnsi="宋体" w:cs="宋体"/>
                <w:b/>
                <w:sz w:val="21"/>
                <w:szCs w:val="21"/>
              </w:rPr>
              <w:t>序号</w:t>
            </w:r>
          </w:p>
        </w:tc>
        <w:tc>
          <w:tcPr>
            <w:tcW w:w="4166"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名称</w:t>
            </w:r>
          </w:p>
        </w:tc>
        <w:tc>
          <w:tcPr>
            <w:tcW w:w="1000"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采购数量</w:t>
            </w:r>
          </w:p>
        </w:tc>
        <w:tc>
          <w:tcPr>
            <w:tcW w:w="1286"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采购总预算（万元）</w:t>
            </w:r>
          </w:p>
        </w:tc>
        <w:tc>
          <w:tcPr>
            <w:tcW w:w="1222"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询价保证金</w:t>
            </w:r>
          </w:p>
          <w:p>
            <w:pPr>
              <w:spacing w:line="360" w:lineRule="auto"/>
              <w:jc w:val="center"/>
              <w:rPr>
                <w:rFonts w:ascii="宋体" w:hAnsi="宋体" w:cs="宋体"/>
                <w:b/>
                <w:kern w:val="0"/>
                <w:sz w:val="21"/>
                <w:szCs w:val="21"/>
              </w:rPr>
            </w:pPr>
            <w:r>
              <w:rPr>
                <w:rFonts w:hint="eastAsia" w:ascii="宋体" w:hAnsi="宋体" w:cs="宋体"/>
                <w:b/>
                <w:kern w:val="0"/>
                <w:sz w:val="21"/>
                <w:szCs w:val="21"/>
              </w:rPr>
              <w:t>（万元）</w:t>
            </w:r>
          </w:p>
        </w:tc>
        <w:tc>
          <w:tcPr>
            <w:tcW w:w="973" w:type="dxa"/>
            <w:vAlign w:val="center"/>
          </w:tcPr>
          <w:p>
            <w:pPr>
              <w:widowControl/>
              <w:spacing w:line="360" w:lineRule="auto"/>
              <w:jc w:val="center"/>
              <w:rPr>
                <w:rFonts w:hint="default" w:ascii="宋体" w:hAnsi="宋体" w:eastAsia="宋体" w:cs="宋体"/>
                <w:b/>
                <w:kern w:val="0"/>
                <w:sz w:val="21"/>
                <w:szCs w:val="21"/>
                <w:lang w:val="en-US" w:eastAsia="zh-CN"/>
              </w:rPr>
            </w:pPr>
            <w:r>
              <w:rPr>
                <w:rFonts w:hint="eastAsia" w:ascii="宋体" w:hAnsi="宋体" w:cs="宋体"/>
                <w:b/>
                <w:kern w:val="0"/>
                <w:sz w:val="21"/>
                <w:szCs w:val="21"/>
                <w:lang w:val="en-US" w:eastAsia="zh-CN"/>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00" w:type="dxa"/>
            <w:vAlign w:val="center"/>
          </w:tcPr>
          <w:p>
            <w:pPr>
              <w:spacing w:line="360" w:lineRule="auto"/>
              <w:rPr>
                <w:rFonts w:ascii="宋体" w:hAnsi="宋体" w:cs="宋体"/>
                <w:sz w:val="21"/>
                <w:szCs w:val="21"/>
              </w:rPr>
            </w:pPr>
            <w:bookmarkStart w:id="14" w:name="_Hlk344477914"/>
            <w:r>
              <w:rPr>
                <w:rFonts w:hint="eastAsia" w:ascii="宋体" w:hAnsi="宋体" w:cs="宋体"/>
                <w:sz w:val="21"/>
                <w:szCs w:val="21"/>
              </w:rPr>
              <w:t>1</w:t>
            </w:r>
          </w:p>
        </w:tc>
        <w:tc>
          <w:tcPr>
            <w:tcW w:w="4166" w:type="dxa"/>
            <w:vAlign w:val="center"/>
          </w:tcPr>
          <w:p>
            <w:pPr>
              <w:widowControl/>
              <w:spacing w:line="360" w:lineRule="auto"/>
              <w:jc w:val="left"/>
              <w:textAlignment w:val="center"/>
              <w:rPr>
                <w:rFonts w:ascii="宋体" w:hAnsi="宋体" w:cs="宋体"/>
                <w:sz w:val="21"/>
                <w:szCs w:val="21"/>
              </w:rPr>
            </w:pPr>
            <w:r>
              <w:rPr>
                <w:rFonts w:hint="eastAsia" w:ascii="宋体" w:hAnsi="宋体" w:cs="宋体"/>
                <w:sz w:val="21"/>
                <w:szCs w:val="21"/>
              </w:rPr>
              <w:t>《秸秆树盘覆盖果园行间绿肥免耕综合技术示范》绿肥种子及病虫害绿色防控物资采购</w:t>
            </w:r>
          </w:p>
        </w:tc>
        <w:tc>
          <w:tcPr>
            <w:tcW w:w="1000" w:type="dxa"/>
            <w:vAlign w:val="center"/>
          </w:tcPr>
          <w:p>
            <w:pPr>
              <w:widowControl/>
              <w:spacing w:line="360" w:lineRule="auto"/>
              <w:jc w:val="center"/>
              <w:textAlignment w:val="center"/>
              <w:rPr>
                <w:rFonts w:ascii="宋体" w:hAnsi="宋体" w:cs="宋体"/>
                <w:b/>
                <w:bCs w:val="0"/>
                <w:kern w:val="0"/>
                <w:sz w:val="21"/>
                <w:szCs w:val="21"/>
              </w:rPr>
            </w:pPr>
            <w:r>
              <w:rPr>
                <w:rFonts w:hint="eastAsia" w:ascii="宋体" w:hAnsi="宋体" w:cs="宋体"/>
                <w:b/>
                <w:bCs w:val="0"/>
                <w:kern w:val="0"/>
                <w:sz w:val="21"/>
                <w:szCs w:val="21"/>
              </w:rPr>
              <w:t>一批</w:t>
            </w:r>
          </w:p>
        </w:tc>
        <w:tc>
          <w:tcPr>
            <w:tcW w:w="1286" w:type="dxa"/>
            <w:vAlign w:val="center"/>
          </w:tcPr>
          <w:p>
            <w:pPr>
              <w:widowControl/>
              <w:spacing w:line="360" w:lineRule="auto"/>
              <w:jc w:val="center"/>
              <w:textAlignment w:val="center"/>
              <w:rPr>
                <w:rFonts w:ascii="宋体" w:hAnsi="宋体" w:cs="宋体"/>
                <w:b/>
                <w:bCs w:val="0"/>
                <w:kern w:val="0"/>
                <w:sz w:val="21"/>
                <w:szCs w:val="21"/>
              </w:rPr>
            </w:pPr>
            <w:r>
              <w:rPr>
                <w:rFonts w:hint="eastAsia" w:ascii="宋体" w:hAnsi="宋体" w:cs="宋体"/>
                <w:b/>
                <w:bCs w:val="0"/>
                <w:kern w:val="0"/>
                <w:sz w:val="21"/>
                <w:szCs w:val="21"/>
              </w:rPr>
              <w:t>48.44</w:t>
            </w:r>
          </w:p>
        </w:tc>
        <w:tc>
          <w:tcPr>
            <w:tcW w:w="1222" w:type="dxa"/>
            <w:vAlign w:val="center"/>
          </w:tcPr>
          <w:p>
            <w:pPr>
              <w:widowControl/>
              <w:spacing w:line="360" w:lineRule="auto"/>
              <w:jc w:val="center"/>
              <w:rPr>
                <w:rFonts w:ascii="宋体" w:hAnsi="宋体" w:cs="宋体"/>
                <w:b/>
                <w:bCs w:val="0"/>
                <w:kern w:val="0"/>
                <w:sz w:val="21"/>
                <w:szCs w:val="21"/>
              </w:rPr>
            </w:pPr>
            <w:r>
              <w:rPr>
                <w:rFonts w:hint="eastAsia" w:ascii="宋体" w:hAnsi="宋体" w:cs="宋体"/>
                <w:b/>
                <w:bCs w:val="0"/>
                <w:kern w:val="0"/>
                <w:sz w:val="21"/>
                <w:szCs w:val="21"/>
              </w:rPr>
              <w:t>0.8</w:t>
            </w:r>
          </w:p>
        </w:tc>
        <w:tc>
          <w:tcPr>
            <w:tcW w:w="973" w:type="dxa"/>
          </w:tcPr>
          <w:p>
            <w:pPr>
              <w:widowControl/>
              <w:spacing w:line="360" w:lineRule="auto"/>
              <w:jc w:val="center"/>
              <w:textAlignment w:val="center"/>
              <w:rPr>
                <w:rFonts w:hint="eastAsia" w:ascii="宋体" w:hAnsi="宋体" w:cs="宋体"/>
                <w:b/>
                <w:bCs w:val="0"/>
                <w:kern w:val="0"/>
                <w:sz w:val="21"/>
                <w:szCs w:val="21"/>
                <w:lang w:val="en-US" w:eastAsia="zh-CN"/>
              </w:rPr>
            </w:pPr>
          </w:p>
          <w:p>
            <w:pPr>
              <w:widowControl/>
              <w:spacing w:line="360" w:lineRule="auto"/>
              <w:jc w:val="center"/>
              <w:textAlignment w:val="center"/>
              <w:rPr>
                <w:rFonts w:hint="eastAsia" w:ascii="宋体" w:hAnsi="宋体" w:cs="宋体"/>
                <w:b/>
                <w:bCs w:val="0"/>
                <w:kern w:val="0"/>
                <w:sz w:val="21"/>
                <w:szCs w:val="21"/>
                <w:lang w:eastAsia="zh-CN"/>
              </w:rPr>
            </w:pPr>
            <w:r>
              <w:rPr>
                <w:rFonts w:hint="eastAsia" w:ascii="宋体" w:hAnsi="宋体" w:cs="宋体"/>
                <w:b/>
                <w:bCs w:val="0"/>
                <w:kern w:val="0"/>
                <w:sz w:val="21"/>
                <w:szCs w:val="21"/>
                <w:lang w:val="en-US" w:eastAsia="zh-CN"/>
              </w:rPr>
              <w:t>1</w:t>
            </w:r>
          </w:p>
        </w:tc>
      </w:tr>
      <w:bookmarkEnd w:id="14"/>
    </w:tbl>
    <w:p>
      <w:pPr>
        <w:pStyle w:val="6"/>
        <w:spacing w:before="0" w:after="0" w:line="360" w:lineRule="auto"/>
        <w:rPr>
          <w:rFonts w:ascii="宋体" w:hAnsi="宋体" w:cs="宋体"/>
          <w:sz w:val="21"/>
          <w:szCs w:val="21"/>
        </w:rPr>
      </w:pPr>
      <w:bookmarkStart w:id="15" w:name="_Toc4372"/>
      <w:bookmarkStart w:id="16" w:name="_Toc487204772"/>
      <w:bookmarkStart w:id="17" w:name="_Toc28223"/>
      <w:bookmarkStart w:id="18" w:name="_Toc11592"/>
      <w:bookmarkStart w:id="19" w:name="_Toc521318164"/>
      <w:bookmarkStart w:id="20" w:name="_Toc373860293"/>
      <w:bookmarkStart w:id="21" w:name="_Toc317775178"/>
      <w:r>
        <w:rPr>
          <w:rFonts w:hint="eastAsia" w:ascii="宋体" w:hAnsi="宋体" w:cs="宋体"/>
          <w:sz w:val="21"/>
          <w:szCs w:val="21"/>
        </w:rPr>
        <w:t>二、资金来源</w:t>
      </w:r>
      <w:bookmarkEnd w:id="15"/>
      <w:bookmarkEnd w:id="16"/>
      <w:bookmarkEnd w:id="17"/>
      <w:bookmarkEnd w:id="18"/>
      <w:bookmarkEnd w:id="19"/>
    </w:p>
    <w:p>
      <w:pPr>
        <w:spacing w:line="360" w:lineRule="auto"/>
        <w:ind w:firstLine="420" w:firstLineChars="200"/>
        <w:rPr>
          <w:rFonts w:ascii="宋体" w:hAnsi="宋体" w:cs="宋体"/>
          <w:sz w:val="21"/>
          <w:szCs w:val="21"/>
        </w:rPr>
      </w:pPr>
      <w:r>
        <w:rPr>
          <w:rFonts w:hint="eastAsia" w:ascii="宋体" w:hAnsi="宋体" w:cs="宋体"/>
          <w:sz w:val="21"/>
          <w:szCs w:val="21"/>
        </w:rPr>
        <w:t>财政预算资金。</w:t>
      </w:r>
    </w:p>
    <w:p>
      <w:pPr>
        <w:pStyle w:val="6"/>
        <w:spacing w:before="0" w:after="0" w:line="360" w:lineRule="auto"/>
        <w:rPr>
          <w:rFonts w:ascii="宋体" w:hAnsi="宋体" w:cs="宋体"/>
          <w:sz w:val="21"/>
          <w:szCs w:val="21"/>
        </w:rPr>
      </w:pPr>
      <w:bookmarkStart w:id="22" w:name="_Toc29779"/>
      <w:bookmarkStart w:id="23" w:name="_Toc342913390"/>
      <w:bookmarkStart w:id="24" w:name="_Toc521318165"/>
      <w:bookmarkStart w:id="25" w:name="_Toc20415"/>
      <w:bookmarkStart w:id="26" w:name="_Toc487204773"/>
      <w:bookmarkStart w:id="27" w:name="_Toc28123"/>
      <w:r>
        <w:rPr>
          <w:rFonts w:hint="eastAsia" w:ascii="宋体" w:hAnsi="宋体" w:cs="宋体"/>
          <w:sz w:val="21"/>
          <w:szCs w:val="21"/>
        </w:rPr>
        <w:t>三、资格要求</w:t>
      </w:r>
      <w:bookmarkEnd w:id="22"/>
      <w:bookmarkEnd w:id="23"/>
      <w:bookmarkEnd w:id="24"/>
      <w:bookmarkEnd w:id="25"/>
      <w:bookmarkEnd w:id="26"/>
      <w:bookmarkEnd w:id="27"/>
    </w:p>
    <w:p>
      <w:pPr>
        <w:pStyle w:val="193"/>
        <w:spacing w:line="360" w:lineRule="auto"/>
        <w:ind w:firstLine="420" w:firstLineChars="200"/>
        <w:rPr>
          <w:rFonts w:hAnsi="宋体"/>
        </w:rPr>
      </w:pPr>
      <w:r>
        <w:rPr>
          <w:rFonts w:hint="eastAsia" w:hAnsi="宋体"/>
        </w:rPr>
        <w:t>询价供应商是指向采购人提供货物、工程或者服务的法人、其他组织或者自然人。以下简称供应商。</w:t>
      </w:r>
    </w:p>
    <w:p>
      <w:pPr>
        <w:pStyle w:val="193"/>
        <w:spacing w:line="360" w:lineRule="auto"/>
        <w:ind w:firstLine="420" w:firstLineChars="200"/>
        <w:rPr>
          <w:rFonts w:hAnsi="宋体"/>
        </w:rPr>
      </w:pPr>
      <w:r>
        <w:rPr>
          <w:rFonts w:hint="eastAsia" w:hAnsi="宋体"/>
        </w:rPr>
        <w:t>合格的供应商应符合下列条件：</w:t>
      </w:r>
    </w:p>
    <w:p>
      <w:pPr>
        <w:pStyle w:val="193"/>
        <w:spacing w:line="360" w:lineRule="auto"/>
        <w:ind w:firstLine="420" w:firstLineChars="200"/>
        <w:rPr>
          <w:rFonts w:hAnsi="宋体"/>
        </w:rPr>
      </w:pPr>
      <w:r>
        <w:rPr>
          <w:rFonts w:hint="eastAsia" w:hAnsi="宋体"/>
        </w:rPr>
        <w:t>（一）一般资格条件</w:t>
      </w:r>
    </w:p>
    <w:p>
      <w:pPr>
        <w:pStyle w:val="193"/>
        <w:spacing w:line="360" w:lineRule="auto"/>
        <w:ind w:firstLine="420" w:firstLineChars="200"/>
        <w:rPr>
          <w:rFonts w:hAnsi="宋体"/>
        </w:rPr>
      </w:pPr>
      <w:r>
        <w:rPr>
          <w:rFonts w:hint="eastAsia" w:hAnsi="宋体"/>
        </w:rPr>
        <w:t>1、具有独立承担民事责任的能力；</w:t>
      </w:r>
    </w:p>
    <w:p>
      <w:pPr>
        <w:pStyle w:val="193"/>
        <w:spacing w:line="360" w:lineRule="auto"/>
        <w:ind w:firstLine="420" w:firstLineChars="200"/>
        <w:rPr>
          <w:rFonts w:hAnsi="宋体"/>
        </w:rPr>
      </w:pPr>
      <w:r>
        <w:rPr>
          <w:rFonts w:hint="eastAsia" w:hAnsi="宋体"/>
        </w:rPr>
        <w:t>2、具有良好的商业信誉和健全的财务会计制度；</w:t>
      </w:r>
    </w:p>
    <w:p>
      <w:pPr>
        <w:pStyle w:val="193"/>
        <w:spacing w:line="360" w:lineRule="auto"/>
        <w:ind w:firstLine="420" w:firstLineChars="200"/>
        <w:rPr>
          <w:rFonts w:hAnsi="宋体"/>
        </w:rPr>
      </w:pPr>
      <w:r>
        <w:rPr>
          <w:rFonts w:hint="eastAsia" w:hAnsi="宋体"/>
        </w:rPr>
        <w:t>3、具有履行合同所必需的设备和专业技术能力；</w:t>
      </w:r>
    </w:p>
    <w:p>
      <w:pPr>
        <w:pStyle w:val="193"/>
        <w:spacing w:line="360" w:lineRule="auto"/>
        <w:ind w:firstLine="420" w:firstLineChars="200"/>
        <w:rPr>
          <w:rFonts w:hAnsi="宋体"/>
        </w:rPr>
      </w:pPr>
      <w:r>
        <w:rPr>
          <w:rFonts w:hint="eastAsia" w:hAnsi="宋体"/>
        </w:rPr>
        <w:t>4、有依法缴纳税收和社会保障资金的良好记录；</w:t>
      </w:r>
    </w:p>
    <w:p>
      <w:pPr>
        <w:pStyle w:val="193"/>
        <w:spacing w:line="360" w:lineRule="auto"/>
        <w:ind w:firstLine="420" w:firstLineChars="200"/>
        <w:rPr>
          <w:rFonts w:hAnsi="宋体"/>
        </w:rPr>
      </w:pPr>
      <w:r>
        <w:rPr>
          <w:rFonts w:hint="eastAsia" w:hAnsi="宋体"/>
        </w:rPr>
        <w:t>5、参加政府采购活动前三年内，在经营活动中没有重大违法记录。</w:t>
      </w:r>
    </w:p>
    <w:p>
      <w:pPr>
        <w:pStyle w:val="193"/>
        <w:spacing w:line="360" w:lineRule="auto"/>
        <w:ind w:firstLine="420" w:firstLineChars="200"/>
        <w:rPr>
          <w:rFonts w:hAnsi="宋体"/>
        </w:rPr>
      </w:pPr>
      <w:r>
        <w:rPr>
          <w:rFonts w:hint="eastAsia" w:hAnsi="宋体"/>
        </w:rPr>
        <w:t>6、法律、行政法规规定的其他条件。</w:t>
      </w:r>
    </w:p>
    <w:p>
      <w:pPr>
        <w:pStyle w:val="31"/>
        <w:spacing w:line="360" w:lineRule="auto"/>
        <w:ind w:firstLine="422" w:firstLineChars="200"/>
        <w:rPr>
          <w:rFonts w:hAnsi="宋体" w:cs="宋体"/>
          <w:b/>
          <w:bCs/>
          <w:szCs w:val="21"/>
        </w:rPr>
      </w:pPr>
      <w:r>
        <w:rPr>
          <w:rFonts w:hint="eastAsia" w:hAnsi="宋体" w:cs="宋体"/>
          <w:b/>
          <w:bCs/>
          <w:szCs w:val="21"/>
        </w:rPr>
        <w:t>注：需提供证明材料详见询价通知书第六篇。</w:t>
      </w:r>
    </w:p>
    <w:p>
      <w:pPr>
        <w:pStyle w:val="193"/>
        <w:numPr>
          <w:ilvl w:val="0"/>
          <w:numId w:val="1"/>
        </w:numPr>
        <w:spacing w:line="360" w:lineRule="auto"/>
        <w:ind w:firstLine="420" w:firstLineChars="200"/>
        <w:rPr>
          <w:rFonts w:hAnsi="宋体"/>
        </w:rPr>
      </w:pPr>
      <w:r>
        <w:rPr>
          <w:rFonts w:hint="eastAsia" w:hAnsi="宋体"/>
        </w:rPr>
        <w:t>特定资格条件</w:t>
      </w:r>
      <w:bookmarkStart w:id="28" w:name="_Toc487204774"/>
      <w:bookmarkStart w:id="29" w:name="_Toc521318166"/>
      <w:bookmarkStart w:id="30" w:name="_Toc27115"/>
      <w:bookmarkStart w:id="31" w:name="_Toc15388"/>
    </w:p>
    <w:p>
      <w:pPr>
        <w:pStyle w:val="193"/>
        <w:spacing w:line="360" w:lineRule="auto"/>
        <w:ind w:firstLine="420" w:firstLineChars="200"/>
        <w:rPr>
          <w:rFonts w:hAnsi="宋体"/>
          <w:b/>
          <w:bCs/>
        </w:rPr>
      </w:pPr>
      <w:r>
        <w:rPr>
          <w:rFonts w:hint="eastAsia" w:hAnsi="宋体"/>
        </w:rPr>
        <w:t>1、无</w:t>
      </w:r>
      <w:r>
        <w:rPr>
          <w:rFonts w:hint="eastAsia" w:hAnsi="宋体"/>
          <w:b/>
          <w:bCs/>
        </w:rPr>
        <w:t>。</w:t>
      </w:r>
    </w:p>
    <w:p>
      <w:pPr>
        <w:pStyle w:val="193"/>
        <w:spacing w:line="360" w:lineRule="auto"/>
        <w:rPr>
          <w:rFonts w:hAnsi="宋体"/>
        </w:rPr>
      </w:pPr>
      <w:r>
        <w:rPr>
          <w:rFonts w:hint="eastAsia" w:hAnsi="宋体"/>
          <w:b/>
          <w:bCs/>
        </w:rPr>
        <w:t>四、询价有关说明</w:t>
      </w:r>
      <w:bookmarkEnd w:id="20"/>
      <w:bookmarkEnd w:id="28"/>
      <w:bookmarkEnd w:id="29"/>
      <w:bookmarkEnd w:id="30"/>
      <w:bookmarkEnd w:id="31"/>
      <w:bookmarkStart w:id="32" w:name="_Toc373860294"/>
    </w:p>
    <w:p>
      <w:pPr>
        <w:pStyle w:val="31"/>
        <w:wordWrap w:val="0"/>
        <w:spacing w:line="360" w:lineRule="auto"/>
        <w:ind w:firstLine="420" w:firstLineChars="200"/>
        <w:rPr>
          <w:rFonts w:hAnsi="宋体" w:cs="宋体"/>
          <w:kern w:val="2"/>
          <w:szCs w:val="21"/>
          <w:highlight w:val="none"/>
        </w:rPr>
      </w:pPr>
      <w:r>
        <w:rPr>
          <w:rFonts w:hint="eastAsia" w:hAnsi="宋体" w:cs="宋体"/>
          <w:kern w:val="2"/>
          <w:szCs w:val="21"/>
        </w:rPr>
        <w:t>（一）本项目询价公告</w:t>
      </w:r>
      <w:r>
        <w:rPr>
          <w:rFonts w:hint="eastAsia" w:hAnsi="宋体" w:cs="宋体"/>
          <w:kern w:val="2"/>
          <w:szCs w:val="21"/>
          <w:highlight w:val="none"/>
        </w:rPr>
        <w:t>于2021年7月2</w:t>
      </w:r>
      <w:r>
        <w:rPr>
          <w:rFonts w:hint="eastAsia" w:hAnsi="宋体" w:cs="宋体"/>
          <w:kern w:val="2"/>
          <w:szCs w:val="21"/>
          <w:highlight w:val="none"/>
          <w:lang w:val="en-US" w:eastAsia="zh-CN"/>
        </w:rPr>
        <w:t>8</w:t>
      </w:r>
      <w:r>
        <w:rPr>
          <w:rFonts w:hint="eastAsia" w:hAnsi="宋体" w:cs="宋体"/>
          <w:kern w:val="2"/>
          <w:szCs w:val="21"/>
          <w:highlight w:val="none"/>
        </w:rPr>
        <w:t>日在重庆农业技术推广信息网（</w:t>
      </w:r>
      <w:r>
        <w:rPr>
          <w:highlight w:val="none"/>
        </w:rPr>
        <w:fldChar w:fldCharType="begin"/>
      </w:r>
      <w:r>
        <w:rPr>
          <w:highlight w:val="none"/>
        </w:rPr>
        <w:instrText xml:space="preserve"> HYPERLINK "http://www.cqates.com/Default.aspx" </w:instrText>
      </w:r>
      <w:r>
        <w:rPr>
          <w:highlight w:val="none"/>
        </w:rPr>
        <w:fldChar w:fldCharType="separate"/>
      </w:r>
      <w:r>
        <w:rPr>
          <w:rStyle w:val="64"/>
          <w:rFonts w:hint="eastAsia" w:hAnsi="宋体"/>
          <w:sz w:val="24"/>
          <w:highlight w:val="none"/>
        </w:rPr>
        <w:t>http://www.cqates.com/Default.aspx</w:t>
      </w:r>
      <w:r>
        <w:rPr>
          <w:rStyle w:val="64"/>
          <w:rFonts w:hint="eastAsia" w:hAnsi="宋体"/>
          <w:sz w:val="24"/>
          <w:highlight w:val="none"/>
        </w:rPr>
        <w:fldChar w:fldCharType="end"/>
      </w:r>
      <w:r>
        <w:rPr>
          <w:rFonts w:hint="eastAsia" w:hAnsi="宋体"/>
          <w:sz w:val="24"/>
          <w:highlight w:val="none"/>
        </w:rPr>
        <w:t>）</w:t>
      </w:r>
      <w:r>
        <w:rPr>
          <w:rFonts w:hint="eastAsia" w:hAnsi="宋体" w:cs="宋体"/>
          <w:kern w:val="2"/>
          <w:szCs w:val="21"/>
          <w:highlight w:val="none"/>
        </w:rPr>
        <w:t>发布。</w:t>
      </w:r>
    </w:p>
    <w:p>
      <w:pPr>
        <w:pStyle w:val="193"/>
        <w:spacing w:line="360" w:lineRule="auto"/>
        <w:ind w:firstLine="420" w:firstLineChars="200"/>
        <w:rPr>
          <w:rFonts w:hAnsi="宋体"/>
          <w:highlight w:val="none"/>
        </w:rPr>
      </w:pPr>
      <w:r>
        <w:rPr>
          <w:rFonts w:hint="eastAsia" w:hAnsi="宋体"/>
          <w:highlight w:val="none"/>
        </w:rPr>
        <w:t>（二）凡有意参加询价的供应商，请在行重庆农业技术推广信息网上下载本项询价文件以及补遗等公布的所有项目资料，无论供应商下载与否，均视为已知晓所有询价实质性要求内容。</w:t>
      </w:r>
    </w:p>
    <w:p>
      <w:pPr>
        <w:pStyle w:val="193"/>
        <w:spacing w:line="360" w:lineRule="auto"/>
        <w:ind w:firstLine="420" w:firstLineChars="200"/>
        <w:rPr>
          <w:rFonts w:hAnsi="宋体"/>
          <w:highlight w:val="none"/>
        </w:rPr>
      </w:pPr>
      <w:r>
        <w:rPr>
          <w:rFonts w:hint="eastAsia" w:hAnsi="宋体"/>
          <w:highlight w:val="none"/>
        </w:rPr>
        <w:t>（三）询价公告期限：自采购公告发布之日起三个工作日。</w:t>
      </w:r>
    </w:p>
    <w:p>
      <w:pPr>
        <w:pStyle w:val="193"/>
        <w:spacing w:line="360" w:lineRule="auto"/>
        <w:ind w:firstLine="420" w:firstLineChars="200"/>
        <w:rPr>
          <w:rFonts w:hAnsi="宋体"/>
          <w:highlight w:val="none"/>
        </w:rPr>
      </w:pPr>
      <w:r>
        <w:rPr>
          <w:rFonts w:hint="eastAsia" w:hAnsi="宋体"/>
          <w:highlight w:val="none"/>
        </w:rPr>
        <w:t>（四）报名及询价文件发售</w:t>
      </w:r>
    </w:p>
    <w:p>
      <w:pPr>
        <w:pStyle w:val="193"/>
        <w:spacing w:line="360" w:lineRule="auto"/>
        <w:ind w:firstLine="420" w:firstLineChars="200"/>
        <w:rPr>
          <w:rFonts w:hAnsi="宋体"/>
          <w:highlight w:val="none"/>
        </w:rPr>
      </w:pPr>
      <w:r>
        <w:rPr>
          <w:rFonts w:hint="eastAsia" w:hAnsi="宋体"/>
          <w:highlight w:val="none"/>
        </w:rPr>
        <w:t>1.报名和询价文件发售期：2021年7月2</w:t>
      </w:r>
      <w:r>
        <w:rPr>
          <w:rFonts w:hint="eastAsia" w:hAnsi="宋体"/>
          <w:highlight w:val="none"/>
          <w:lang w:val="en-US" w:eastAsia="zh-CN"/>
        </w:rPr>
        <w:t>8</w:t>
      </w:r>
      <w:r>
        <w:rPr>
          <w:rFonts w:hint="eastAsia" w:hAnsi="宋体"/>
          <w:highlight w:val="none"/>
        </w:rPr>
        <w:t>日-2021年7月</w:t>
      </w:r>
      <w:r>
        <w:rPr>
          <w:rFonts w:hint="eastAsia" w:hAnsi="宋体"/>
          <w:highlight w:val="none"/>
          <w:lang w:val="en-US" w:eastAsia="zh-CN"/>
        </w:rPr>
        <w:t>30</w:t>
      </w:r>
      <w:r>
        <w:rPr>
          <w:rFonts w:hint="eastAsia" w:hAnsi="宋体"/>
          <w:highlight w:val="none"/>
        </w:rPr>
        <w:t>日</w:t>
      </w:r>
      <w:r>
        <w:rPr>
          <w:rFonts w:hint="eastAsia" w:hAnsi="宋体"/>
          <w:highlight w:val="none"/>
          <w:lang w:val="en-US" w:eastAsia="zh-CN"/>
        </w:rPr>
        <w:t xml:space="preserve"> 17：00</w:t>
      </w:r>
      <w:r>
        <w:rPr>
          <w:rFonts w:hint="eastAsia" w:hAnsi="宋体"/>
          <w:highlight w:val="none"/>
        </w:rPr>
        <w:t>（工作时间）</w:t>
      </w:r>
    </w:p>
    <w:p>
      <w:pPr>
        <w:pStyle w:val="193"/>
        <w:spacing w:line="360" w:lineRule="auto"/>
        <w:ind w:firstLine="420" w:firstLineChars="200"/>
        <w:rPr>
          <w:rFonts w:hAnsi="宋体"/>
          <w:highlight w:val="none"/>
        </w:rPr>
      </w:pPr>
      <w:r>
        <w:rPr>
          <w:rFonts w:hint="eastAsia" w:hAnsi="宋体"/>
          <w:highlight w:val="none"/>
        </w:rPr>
        <w:t>2.询价文件售价：人民币300元/份（售后不退）</w:t>
      </w:r>
    </w:p>
    <w:p>
      <w:pPr>
        <w:pStyle w:val="193"/>
        <w:spacing w:line="360" w:lineRule="auto"/>
        <w:ind w:firstLine="420" w:firstLineChars="200"/>
        <w:rPr>
          <w:rFonts w:hAnsi="宋体"/>
          <w:highlight w:val="none"/>
        </w:rPr>
      </w:pPr>
      <w:r>
        <w:rPr>
          <w:rFonts w:hint="eastAsia" w:hAnsi="宋体"/>
          <w:highlight w:val="none"/>
        </w:rPr>
        <w:t>询价文件购买方式</w:t>
      </w:r>
      <w:r>
        <w:rPr>
          <w:rFonts w:hint="eastAsia" w:hAnsi="宋体"/>
          <w:highlight w:val="none"/>
          <w:lang w:eastAsia="zh-CN"/>
        </w:rPr>
        <w:t>：</w:t>
      </w:r>
      <w:r>
        <w:rPr>
          <w:rFonts w:hint="eastAsia" w:hAnsi="宋体"/>
          <w:highlight w:val="none"/>
        </w:rPr>
        <w:t>汇款购买</w:t>
      </w:r>
    </w:p>
    <w:p>
      <w:pPr>
        <w:pStyle w:val="193"/>
        <w:spacing w:line="360" w:lineRule="auto"/>
        <w:ind w:firstLine="420" w:firstLineChars="200"/>
        <w:rPr>
          <w:rFonts w:hAnsi="宋体"/>
          <w:highlight w:val="none"/>
        </w:rPr>
      </w:pPr>
      <w:r>
        <w:rPr>
          <w:rFonts w:hint="eastAsia" w:hAnsi="宋体"/>
          <w:highlight w:val="none"/>
        </w:rPr>
        <w:t>在询价文件发售期内，供应商将询价文件购买费用汇至以下账户内进行购买。</w:t>
      </w:r>
    </w:p>
    <w:p>
      <w:pPr>
        <w:pStyle w:val="193"/>
        <w:spacing w:line="360" w:lineRule="auto"/>
        <w:ind w:firstLine="420" w:firstLineChars="200"/>
        <w:rPr>
          <w:rFonts w:hint="eastAsia" w:hAnsi="宋体"/>
          <w:highlight w:val="none"/>
        </w:rPr>
      </w:pPr>
      <w:r>
        <w:rPr>
          <w:rFonts w:hint="eastAsia" w:hAnsi="宋体"/>
          <w:highlight w:val="none"/>
        </w:rPr>
        <w:t>户  名：重庆宏仁招标代理有限公司</w:t>
      </w:r>
    </w:p>
    <w:p>
      <w:pPr>
        <w:pStyle w:val="193"/>
        <w:spacing w:line="360" w:lineRule="auto"/>
        <w:ind w:firstLine="420" w:firstLineChars="200"/>
        <w:rPr>
          <w:rFonts w:hint="eastAsia" w:hAnsi="宋体"/>
          <w:highlight w:val="none"/>
        </w:rPr>
      </w:pPr>
      <w:r>
        <w:rPr>
          <w:rFonts w:hint="eastAsia" w:hAnsi="宋体"/>
          <w:highlight w:val="none"/>
        </w:rPr>
        <w:t>开户行：招商银行重庆分行较场口支行</w:t>
      </w:r>
    </w:p>
    <w:p>
      <w:pPr>
        <w:pStyle w:val="193"/>
        <w:spacing w:line="360" w:lineRule="auto"/>
        <w:ind w:firstLine="420" w:firstLineChars="200"/>
        <w:rPr>
          <w:rFonts w:hint="eastAsia" w:hAnsi="宋体"/>
          <w:highlight w:val="none"/>
        </w:rPr>
      </w:pPr>
      <w:r>
        <w:rPr>
          <w:rFonts w:hint="eastAsia" w:hAnsi="宋体"/>
          <w:highlight w:val="none"/>
        </w:rPr>
        <w:t>账  号：</w:t>
      </w:r>
      <w:r>
        <w:rPr>
          <w:rFonts w:hAnsi="宋体"/>
          <w:highlight w:val="none"/>
        </w:rPr>
        <w:t>123907228910802</w:t>
      </w:r>
    </w:p>
    <w:p>
      <w:pPr>
        <w:pStyle w:val="193"/>
        <w:spacing w:line="360" w:lineRule="auto"/>
        <w:ind w:firstLine="420" w:firstLineChars="200"/>
        <w:rPr>
          <w:rFonts w:hint="eastAsia" w:hAnsi="宋体" w:eastAsia="宋体"/>
          <w:highlight w:val="none"/>
          <w:lang w:val="en-US" w:eastAsia="zh-CN"/>
        </w:rPr>
      </w:pPr>
      <w:r>
        <w:rPr>
          <w:rFonts w:hint="eastAsia" w:hAnsi="宋体"/>
          <w:highlight w:val="none"/>
        </w:rPr>
        <w:t>3.报名方式：非现场报名</w:t>
      </w:r>
      <w:r>
        <w:rPr>
          <w:rFonts w:hint="eastAsia" w:hAnsi="宋体"/>
          <w:highlight w:val="none"/>
          <w:lang w:val="en-US" w:eastAsia="zh-CN"/>
        </w:rPr>
        <w:t>方式</w:t>
      </w:r>
    </w:p>
    <w:p>
      <w:pPr>
        <w:pStyle w:val="193"/>
        <w:spacing w:line="360" w:lineRule="auto"/>
        <w:ind w:firstLine="420" w:firstLineChars="200"/>
        <w:rPr>
          <w:rFonts w:hAnsi="宋体"/>
          <w:highlight w:val="none"/>
        </w:rPr>
      </w:pPr>
      <w:r>
        <w:rPr>
          <w:rFonts w:hint="eastAsia" w:hAnsi="宋体"/>
          <w:highlight w:val="none"/>
        </w:rPr>
        <w:t xml:space="preserve"> 将询价文件汇款凭证、《采购文件发售登记表》（加盖供应商公章）扫描后发送至107044006</w:t>
      </w:r>
      <w:r>
        <w:rPr>
          <w:rFonts w:hAnsi="宋体"/>
          <w:highlight w:val="none"/>
        </w:rPr>
        <w:t>@qq.com</w:t>
      </w:r>
      <w:r>
        <w:rPr>
          <w:rFonts w:hint="eastAsia" w:hAnsi="宋体"/>
          <w:highlight w:val="none"/>
        </w:rPr>
        <w:t>（邮箱）。</w:t>
      </w:r>
    </w:p>
    <w:p>
      <w:pPr>
        <w:pStyle w:val="193"/>
        <w:spacing w:line="360" w:lineRule="auto"/>
        <w:ind w:firstLine="420" w:firstLineChars="200"/>
        <w:rPr>
          <w:rFonts w:hAnsi="宋体"/>
          <w:highlight w:val="none"/>
        </w:rPr>
      </w:pPr>
      <w:r>
        <w:rPr>
          <w:rFonts w:hint="eastAsia" w:hAnsi="宋体"/>
          <w:highlight w:val="none"/>
        </w:rPr>
        <w:t>在报名和询价文件发售期内购买了询价文件的供应商，其报名才被接收。</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（五）响应文件递交地址：重庆市农业技术推广总站（重庆市两江新区黄山大道东段186号12楼会议室）</w:t>
      </w:r>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（六）响应文件递交开始时间： 2021年</w:t>
      </w:r>
      <w:r>
        <w:rPr>
          <w:rFonts w:hint="eastAsia" w:ascii="宋体" w:hAnsi="宋体" w:cs="宋体"/>
          <w:sz w:val="21"/>
          <w:szCs w:val="21"/>
          <w:highlight w:val="none"/>
          <w:lang w:val="en-US" w:eastAsia="zh-CN"/>
        </w:rPr>
        <w:t>8</w:t>
      </w:r>
      <w:r>
        <w:rPr>
          <w:rFonts w:hint="eastAsia" w:ascii="宋体" w:hAnsi="宋体" w:cs="宋体"/>
          <w:sz w:val="21"/>
          <w:szCs w:val="21"/>
          <w:highlight w:val="none"/>
        </w:rPr>
        <w:t>月</w:t>
      </w:r>
      <w:r>
        <w:rPr>
          <w:rFonts w:hint="eastAsia" w:ascii="宋体" w:hAnsi="宋体" w:cs="宋体"/>
          <w:sz w:val="21"/>
          <w:szCs w:val="21"/>
          <w:highlight w:val="none"/>
          <w:lang w:val="en-US" w:eastAsia="zh-CN"/>
        </w:rPr>
        <w:t>2</w:t>
      </w:r>
      <w:r>
        <w:rPr>
          <w:rFonts w:hint="eastAsia" w:ascii="宋体" w:hAnsi="宋体" w:cs="宋体"/>
          <w:sz w:val="21"/>
          <w:szCs w:val="21"/>
          <w:highlight w:val="none"/>
        </w:rPr>
        <w:t>日北京时间</w:t>
      </w:r>
      <w:r>
        <w:rPr>
          <w:rFonts w:hint="eastAsia" w:ascii="宋体" w:hAnsi="宋体" w:cs="宋体"/>
          <w:sz w:val="21"/>
          <w:szCs w:val="21"/>
          <w:highlight w:val="none"/>
          <w:u w:val="single"/>
          <w:lang w:val="en-US" w:eastAsia="zh-CN"/>
        </w:rPr>
        <w:t>14</w:t>
      </w:r>
      <w:r>
        <w:rPr>
          <w:rFonts w:hint="eastAsia" w:ascii="宋体" w:hAnsi="宋体" w:cs="宋体"/>
          <w:sz w:val="21"/>
          <w:szCs w:val="21"/>
          <w:highlight w:val="none"/>
        </w:rPr>
        <w:t>时</w:t>
      </w:r>
      <w:r>
        <w:rPr>
          <w:rFonts w:hint="eastAsia" w:ascii="宋体" w:hAnsi="宋体" w:cs="宋体"/>
          <w:sz w:val="21"/>
          <w:szCs w:val="21"/>
          <w:highlight w:val="none"/>
          <w:u w:val="single"/>
          <w:lang w:val="en-US" w:eastAsia="zh-CN"/>
        </w:rPr>
        <w:t>0</w:t>
      </w:r>
      <w:r>
        <w:rPr>
          <w:rFonts w:hint="eastAsia" w:ascii="宋体" w:hAnsi="宋体" w:cs="宋体"/>
          <w:sz w:val="21"/>
          <w:szCs w:val="21"/>
          <w:highlight w:val="none"/>
          <w:u w:val="single"/>
        </w:rPr>
        <w:t>0</w:t>
      </w:r>
      <w:r>
        <w:rPr>
          <w:rFonts w:hint="eastAsia" w:ascii="宋体" w:hAnsi="宋体" w:cs="宋体"/>
          <w:sz w:val="21"/>
          <w:szCs w:val="21"/>
          <w:highlight w:val="none"/>
        </w:rPr>
        <w:t>分</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（七）响应文件递交截止时间：2021年</w:t>
      </w:r>
      <w:r>
        <w:rPr>
          <w:rFonts w:hint="eastAsia" w:ascii="宋体" w:hAnsi="宋体" w:cs="宋体"/>
          <w:sz w:val="21"/>
          <w:szCs w:val="21"/>
          <w:highlight w:val="none"/>
          <w:lang w:val="en-US" w:eastAsia="zh-CN"/>
        </w:rPr>
        <w:t>8</w:t>
      </w:r>
      <w:r>
        <w:rPr>
          <w:rFonts w:hint="eastAsia" w:ascii="宋体" w:hAnsi="宋体" w:cs="宋体"/>
          <w:sz w:val="21"/>
          <w:szCs w:val="21"/>
          <w:highlight w:val="none"/>
        </w:rPr>
        <w:t>月</w:t>
      </w:r>
      <w:r>
        <w:rPr>
          <w:rFonts w:hint="eastAsia" w:ascii="宋体" w:hAnsi="宋体" w:cs="宋体"/>
          <w:sz w:val="21"/>
          <w:szCs w:val="21"/>
          <w:highlight w:val="none"/>
          <w:lang w:val="en-US" w:eastAsia="zh-CN"/>
        </w:rPr>
        <w:t>2</w:t>
      </w:r>
      <w:r>
        <w:rPr>
          <w:rFonts w:hint="eastAsia" w:ascii="宋体" w:hAnsi="宋体" w:cs="宋体"/>
          <w:sz w:val="21"/>
          <w:szCs w:val="21"/>
          <w:highlight w:val="none"/>
        </w:rPr>
        <w:t>日北京时间</w:t>
      </w:r>
      <w:r>
        <w:rPr>
          <w:rFonts w:hint="eastAsia" w:ascii="宋体" w:hAnsi="宋体" w:cs="宋体"/>
          <w:sz w:val="21"/>
          <w:szCs w:val="21"/>
          <w:highlight w:val="none"/>
          <w:u w:val="single"/>
        </w:rPr>
        <w:t>1</w:t>
      </w:r>
      <w:r>
        <w:rPr>
          <w:rFonts w:hint="eastAsia" w:ascii="宋体" w:hAnsi="宋体" w:cs="宋体"/>
          <w:sz w:val="21"/>
          <w:szCs w:val="21"/>
          <w:highlight w:val="none"/>
          <w:u w:val="single"/>
          <w:lang w:val="en-US" w:eastAsia="zh-CN"/>
        </w:rPr>
        <w:t>4</w:t>
      </w:r>
      <w:r>
        <w:rPr>
          <w:rFonts w:hint="eastAsia" w:ascii="宋体" w:hAnsi="宋体" w:cs="宋体"/>
          <w:sz w:val="21"/>
          <w:szCs w:val="21"/>
          <w:highlight w:val="none"/>
        </w:rPr>
        <w:t>时</w:t>
      </w:r>
      <w:r>
        <w:rPr>
          <w:rFonts w:hint="eastAsia" w:ascii="宋体" w:hAnsi="宋体" w:cs="宋体"/>
          <w:sz w:val="21"/>
          <w:szCs w:val="21"/>
          <w:highlight w:val="none"/>
          <w:u w:val="single"/>
          <w:lang w:val="en-US" w:eastAsia="zh-CN"/>
        </w:rPr>
        <w:t>3</w:t>
      </w:r>
      <w:r>
        <w:rPr>
          <w:rFonts w:hint="eastAsia" w:ascii="宋体" w:hAnsi="宋体" w:cs="宋体"/>
          <w:sz w:val="21"/>
          <w:szCs w:val="21"/>
          <w:highlight w:val="none"/>
          <w:u w:val="single"/>
        </w:rPr>
        <w:t>0</w:t>
      </w:r>
      <w:r>
        <w:rPr>
          <w:rFonts w:hint="eastAsia" w:ascii="宋体" w:hAnsi="宋体" w:cs="宋体"/>
          <w:sz w:val="21"/>
          <w:szCs w:val="21"/>
          <w:highlight w:val="none"/>
        </w:rPr>
        <w:t>分</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（八）询价开始时间：2021年</w:t>
      </w:r>
      <w:r>
        <w:rPr>
          <w:rFonts w:hint="eastAsia" w:ascii="宋体" w:hAnsi="宋体" w:cs="宋体"/>
          <w:sz w:val="21"/>
          <w:szCs w:val="21"/>
          <w:highlight w:val="none"/>
          <w:lang w:val="en-US" w:eastAsia="zh-CN"/>
        </w:rPr>
        <w:t>8</w:t>
      </w:r>
      <w:r>
        <w:rPr>
          <w:rFonts w:hint="eastAsia" w:ascii="宋体" w:hAnsi="宋体" w:cs="宋体"/>
          <w:sz w:val="21"/>
          <w:szCs w:val="21"/>
          <w:highlight w:val="none"/>
        </w:rPr>
        <w:t>月</w:t>
      </w:r>
      <w:r>
        <w:rPr>
          <w:rFonts w:hint="eastAsia" w:ascii="宋体" w:hAnsi="宋体" w:cs="宋体"/>
          <w:sz w:val="21"/>
          <w:szCs w:val="21"/>
          <w:highlight w:val="none"/>
          <w:lang w:val="en-US" w:eastAsia="zh-CN"/>
        </w:rPr>
        <w:t>2</w:t>
      </w:r>
      <w:r>
        <w:rPr>
          <w:rFonts w:hint="eastAsia" w:ascii="宋体" w:hAnsi="宋体" w:cs="宋体"/>
          <w:sz w:val="21"/>
          <w:szCs w:val="21"/>
          <w:highlight w:val="none"/>
        </w:rPr>
        <w:t>日北京时间</w:t>
      </w:r>
      <w:r>
        <w:rPr>
          <w:rFonts w:hint="eastAsia" w:ascii="宋体" w:hAnsi="宋体" w:cs="宋体"/>
          <w:sz w:val="21"/>
          <w:szCs w:val="21"/>
          <w:highlight w:val="none"/>
          <w:u w:val="single"/>
        </w:rPr>
        <w:t>1</w:t>
      </w:r>
      <w:r>
        <w:rPr>
          <w:rFonts w:hint="eastAsia" w:ascii="宋体" w:hAnsi="宋体" w:cs="宋体"/>
          <w:sz w:val="21"/>
          <w:szCs w:val="21"/>
          <w:highlight w:val="none"/>
          <w:u w:val="single"/>
          <w:lang w:val="en-US" w:eastAsia="zh-CN"/>
        </w:rPr>
        <w:t>4</w:t>
      </w:r>
      <w:r>
        <w:rPr>
          <w:rFonts w:hint="eastAsia" w:ascii="宋体" w:hAnsi="宋体" w:cs="宋体"/>
          <w:sz w:val="21"/>
          <w:szCs w:val="21"/>
          <w:highlight w:val="none"/>
        </w:rPr>
        <w:t>时</w:t>
      </w:r>
      <w:r>
        <w:rPr>
          <w:rFonts w:hint="eastAsia" w:ascii="宋体" w:hAnsi="宋体" w:cs="宋体"/>
          <w:sz w:val="21"/>
          <w:szCs w:val="21"/>
          <w:highlight w:val="none"/>
          <w:u w:val="single"/>
          <w:lang w:val="en-US" w:eastAsia="zh-CN"/>
        </w:rPr>
        <w:t>3</w:t>
      </w:r>
      <w:r>
        <w:rPr>
          <w:rFonts w:hint="eastAsia" w:ascii="宋体" w:hAnsi="宋体" w:cs="宋体"/>
          <w:sz w:val="21"/>
          <w:szCs w:val="21"/>
          <w:highlight w:val="none"/>
          <w:u w:val="single"/>
        </w:rPr>
        <w:t>0</w:t>
      </w:r>
      <w:r>
        <w:rPr>
          <w:rFonts w:hint="eastAsia" w:ascii="宋体" w:hAnsi="宋体" w:cs="宋体"/>
          <w:sz w:val="21"/>
          <w:szCs w:val="21"/>
          <w:highlight w:val="none"/>
        </w:rPr>
        <w:t>分</w:t>
      </w:r>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（九）询价地址：同响应文件递交地址</w:t>
      </w:r>
    </w:p>
    <w:p>
      <w:pPr>
        <w:pStyle w:val="6"/>
        <w:spacing w:before="0" w:after="0" w:line="360" w:lineRule="auto"/>
        <w:rPr>
          <w:rFonts w:ascii="宋体" w:hAnsi="宋体" w:cs="宋体"/>
          <w:sz w:val="21"/>
          <w:szCs w:val="21"/>
          <w:highlight w:val="none"/>
        </w:rPr>
      </w:pPr>
      <w:bookmarkStart w:id="33" w:name="_Toc14029"/>
      <w:bookmarkStart w:id="34" w:name="_Toc487204775"/>
      <w:bookmarkStart w:id="35" w:name="_Toc521318167"/>
      <w:bookmarkStart w:id="36" w:name="_Toc29555"/>
      <w:bookmarkStart w:id="37" w:name="_Toc27806"/>
      <w:r>
        <w:rPr>
          <w:rFonts w:hint="eastAsia" w:ascii="宋体" w:hAnsi="宋体" w:cs="宋体"/>
          <w:sz w:val="21"/>
          <w:szCs w:val="21"/>
          <w:highlight w:val="none"/>
        </w:rPr>
        <w:t>五、保证金</w:t>
      </w:r>
      <w:bookmarkEnd w:id="32"/>
      <w:bookmarkEnd w:id="33"/>
      <w:bookmarkEnd w:id="34"/>
      <w:bookmarkEnd w:id="35"/>
      <w:bookmarkEnd w:id="36"/>
      <w:bookmarkEnd w:id="37"/>
    </w:p>
    <w:p>
      <w:pPr>
        <w:snapToGrid w:val="0"/>
        <w:spacing w:line="360" w:lineRule="auto"/>
        <w:ind w:firstLine="420" w:firstLineChars="200"/>
        <w:rPr>
          <w:rFonts w:ascii="宋体" w:hAnsi="宋体" w:cs="宋体"/>
          <w:sz w:val="21"/>
          <w:szCs w:val="21"/>
          <w:highlight w:val="none"/>
        </w:rPr>
      </w:pPr>
      <w:bookmarkStart w:id="38" w:name="_Toc487204776"/>
      <w:bookmarkStart w:id="39" w:name="_Toc521318168"/>
      <w:bookmarkStart w:id="40" w:name="_Toc25642"/>
      <w:bookmarkStart w:id="41" w:name="_Toc26553"/>
      <w:r>
        <w:rPr>
          <w:rFonts w:hint="eastAsia" w:ascii="宋体" w:hAnsi="宋体" w:cs="宋体"/>
          <w:sz w:val="21"/>
          <w:szCs w:val="21"/>
          <w:highlight w:val="none"/>
        </w:rPr>
        <w:t>供应商须按本项目规定的询价保证金金额进行缴纳（保证金金额详见本篇，一、询价内容），由供应商将询价保证金汇至以下账户，询价保证金的到账截止时间为询价前一</w:t>
      </w:r>
      <w:bookmarkStart w:id="208" w:name="_GoBack"/>
      <w:bookmarkEnd w:id="208"/>
      <w:r>
        <w:rPr>
          <w:rFonts w:hint="eastAsia" w:ascii="宋体" w:hAnsi="宋体" w:cs="宋体"/>
          <w:sz w:val="21"/>
          <w:szCs w:val="21"/>
          <w:highlight w:val="none"/>
        </w:rPr>
        <w:t>天北京时间17</w:t>
      </w:r>
      <w:r>
        <w:rPr>
          <w:rFonts w:ascii="宋体" w:hAnsi="宋体" w:cs="宋体"/>
          <w:sz w:val="21"/>
          <w:szCs w:val="21"/>
          <w:highlight w:val="none"/>
        </w:rPr>
        <w:t>:</w:t>
      </w:r>
      <w:r>
        <w:rPr>
          <w:rFonts w:hint="eastAsia" w:ascii="宋体" w:hAnsi="宋体" w:cs="宋体"/>
          <w:sz w:val="21"/>
          <w:szCs w:val="21"/>
          <w:highlight w:val="none"/>
        </w:rPr>
        <w:t>0</w:t>
      </w:r>
      <w:r>
        <w:rPr>
          <w:rFonts w:ascii="宋体" w:hAnsi="宋体" w:cs="宋体"/>
          <w:sz w:val="21"/>
          <w:szCs w:val="21"/>
          <w:highlight w:val="none"/>
        </w:rPr>
        <w:t>0</w:t>
      </w:r>
      <w:r>
        <w:rPr>
          <w:rFonts w:hint="eastAsia" w:ascii="宋体" w:hAnsi="宋体" w:cs="宋体"/>
          <w:sz w:val="21"/>
          <w:szCs w:val="21"/>
          <w:highlight w:val="none"/>
        </w:rPr>
        <w:t>。</w:t>
      </w:r>
    </w:p>
    <w:p>
      <w:pPr>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保证金账户：</w:t>
      </w:r>
    </w:p>
    <w:p>
      <w:pPr>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户  名：重庆宏仁招标代理有限公司</w:t>
      </w:r>
    </w:p>
    <w:p>
      <w:pPr>
        <w:snapToGrid w:val="0"/>
        <w:spacing w:line="360" w:lineRule="auto"/>
        <w:ind w:firstLine="420" w:firstLineChars="200"/>
        <w:rPr>
          <w:rFonts w:hint="eastAsia" w:ascii="宋体" w:hAnsi="宋体" w:cs="宋体"/>
          <w:sz w:val="21"/>
          <w:szCs w:val="21"/>
          <w:highlight w:val="none"/>
        </w:rPr>
      </w:pPr>
      <w:r>
        <w:rPr>
          <w:rFonts w:hint="eastAsia" w:ascii="宋体" w:hAnsi="宋体" w:cs="宋体"/>
          <w:sz w:val="21"/>
          <w:szCs w:val="21"/>
          <w:highlight w:val="none"/>
        </w:rPr>
        <w:t>开户行：招商银行重庆分行较场口支行</w:t>
      </w:r>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账  号：</w:t>
      </w:r>
      <w:r>
        <w:rPr>
          <w:rFonts w:ascii="宋体" w:hAnsi="宋体" w:cs="宋体"/>
          <w:sz w:val="21"/>
          <w:szCs w:val="21"/>
          <w:highlight w:val="none"/>
        </w:rPr>
        <w:t>123907228910802</w:t>
      </w:r>
    </w:p>
    <w:p>
      <w:pPr>
        <w:pStyle w:val="6"/>
        <w:spacing w:before="0" w:after="0" w:line="360" w:lineRule="auto"/>
        <w:rPr>
          <w:rFonts w:ascii="宋体" w:hAnsi="宋体" w:cs="宋体"/>
          <w:sz w:val="21"/>
          <w:szCs w:val="21"/>
          <w:highlight w:val="none"/>
        </w:rPr>
      </w:pPr>
      <w:bookmarkStart w:id="42" w:name="_Toc12785"/>
      <w:r>
        <w:rPr>
          <w:rFonts w:hint="eastAsia" w:ascii="宋体" w:hAnsi="宋体" w:cs="宋体"/>
          <w:sz w:val="21"/>
          <w:szCs w:val="21"/>
          <w:highlight w:val="none"/>
        </w:rPr>
        <w:t>六、</w:t>
      </w:r>
      <w:bookmarkEnd w:id="21"/>
      <w:r>
        <w:rPr>
          <w:rFonts w:hint="eastAsia" w:ascii="宋体" w:hAnsi="宋体" w:cs="宋体"/>
          <w:sz w:val="21"/>
          <w:szCs w:val="21"/>
          <w:highlight w:val="none"/>
        </w:rPr>
        <w:t>询价有关规定</w:t>
      </w:r>
      <w:bookmarkEnd w:id="38"/>
      <w:bookmarkEnd w:id="39"/>
      <w:bookmarkEnd w:id="40"/>
      <w:bookmarkEnd w:id="41"/>
      <w:bookmarkEnd w:id="42"/>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（一）单位负责人为同一人或者存在直接控股、管理关系的不同供应商，不得参加同一合同项下的政府采购活动，否则均为无效响应。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（二）为采购项目提供整体设计、规范编制或者项目管理、监理、检测等服务的供应商，不得再参加该采购项目的其他采购活动，否则均为无效响应。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（四）同一项目的货物，制造商参与询价的，不得再委托代理商参与询价，否则均为无效响应。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（五）本项目的补遗文件（如果有）一律</w:t>
      </w:r>
      <w:r>
        <w:rPr>
          <w:rFonts w:hint="eastAsia" w:ascii="宋体" w:hAnsi="宋体" w:cs="宋体"/>
          <w:sz w:val="21"/>
          <w:szCs w:val="21"/>
          <w:lang w:val="en-US" w:eastAsia="zh-CN"/>
        </w:rPr>
        <w:t>以</w:t>
      </w:r>
      <w:r>
        <w:rPr>
          <w:rFonts w:hint="eastAsia" w:ascii="宋体" w:hAnsi="宋体" w:cs="宋体"/>
          <w:sz w:val="21"/>
          <w:szCs w:val="21"/>
        </w:rPr>
        <w:t>传真或电子邮</w:t>
      </w:r>
      <w:r>
        <w:rPr>
          <w:rFonts w:hint="eastAsia" w:ascii="宋体" w:hAnsi="宋体" w:cs="宋体"/>
          <w:sz w:val="21"/>
          <w:szCs w:val="21"/>
          <w:lang w:val="en-US" w:eastAsia="zh-CN"/>
        </w:rPr>
        <w:t>件</w:t>
      </w:r>
      <w:r>
        <w:rPr>
          <w:rFonts w:hint="eastAsia" w:ascii="宋体" w:hAnsi="宋体" w:cs="宋体"/>
          <w:sz w:val="21"/>
          <w:szCs w:val="21"/>
        </w:rPr>
        <w:t>等形式通知各供应商，请各供应商及时查收领取；无论供应商领取与否，均视同供应商已知晓本项目补遗文件（如果有）的内容。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（六）超过响应文件截止时间递交的响应文件，恕不接收。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w:t>
      </w:r>
      <w:r>
        <w:rPr>
          <w:rFonts w:hint="eastAsia" w:ascii="宋体" w:hAnsi="宋体" w:cs="宋体"/>
          <w:sz w:val="21"/>
          <w:szCs w:val="21"/>
          <w:lang w:val="en-US" w:eastAsia="zh-CN"/>
        </w:rPr>
        <w:t>七</w:t>
      </w:r>
      <w:r>
        <w:rPr>
          <w:rFonts w:hint="eastAsia" w:ascii="宋体" w:hAnsi="宋体" w:cs="宋体"/>
          <w:sz w:val="21"/>
          <w:szCs w:val="21"/>
        </w:rPr>
        <w:t>）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pStyle w:val="6"/>
        <w:spacing w:before="0" w:after="0" w:line="360" w:lineRule="auto"/>
        <w:rPr>
          <w:rFonts w:ascii="宋体" w:hAnsi="宋体" w:cs="宋体"/>
          <w:sz w:val="21"/>
          <w:szCs w:val="21"/>
        </w:rPr>
      </w:pPr>
      <w:bookmarkStart w:id="43" w:name="_Toc521318169"/>
      <w:bookmarkStart w:id="44" w:name="_Toc13067"/>
      <w:bookmarkStart w:id="45" w:name="_Toc487204777"/>
      <w:bookmarkStart w:id="46" w:name="_Toc11638"/>
      <w:bookmarkStart w:id="47" w:name="_Toc30003"/>
      <w:r>
        <w:rPr>
          <w:rFonts w:hint="eastAsia" w:ascii="宋体" w:hAnsi="宋体" w:cs="宋体"/>
          <w:sz w:val="21"/>
          <w:szCs w:val="21"/>
        </w:rPr>
        <w:t>七、联系方式</w:t>
      </w:r>
      <w:bookmarkEnd w:id="43"/>
      <w:bookmarkEnd w:id="44"/>
      <w:bookmarkEnd w:id="45"/>
      <w:bookmarkEnd w:id="46"/>
      <w:bookmarkEnd w:id="47"/>
    </w:p>
    <w:p>
      <w:pPr>
        <w:tabs>
          <w:tab w:val="left" w:pos="720"/>
        </w:tabs>
        <w:adjustRightInd w:val="0"/>
        <w:snapToGrid w:val="0"/>
        <w:spacing w:line="360" w:lineRule="auto"/>
        <w:ind w:firstLine="411" w:firstLineChars="196"/>
        <w:rPr>
          <w:rFonts w:hint="eastAsia" w:ascii="宋体" w:hAnsi="宋体" w:cs="宋体"/>
          <w:sz w:val="21"/>
          <w:szCs w:val="21"/>
        </w:rPr>
      </w:pPr>
      <w:bookmarkStart w:id="48" w:name="_Toc102227313"/>
      <w:r>
        <w:rPr>
          <w:rFonts w:hint="eastAsia" w:ascii="宋体" w:hAnsi="宋体" w:cs="宋体"/>
          <w:sz w:val="21"/>
          <w:szCs w:val="21"/>
        </w:rPr>
        <w:t>（一）采购人：重庆市农业技术推广总站</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 xml:space="preserve">联系人：冯老师 </w:t>
      </w:r>
    </w:p>
    <w:p>
      <w:pPr>
        <w:tabs>
          <w:tab w:val="left" w:pos="720"/>
        </w:tabs>
        <w:adjustRightInd w:val="0"/>
        <w:snapToGrid w:val="0"/>
        <w:spacing w:line="360" w:lineRule="auto"/>
        <w:ind w:firstLine="411" w:firstLineChars="196"/>
        <w:rPr>
          <w:rFonts w:ascii="宋体" w:hAnsi="宋体" w:cs="宋体"/>
          <w:sz w:val="21"/>
          <w:szCs w:val="21"/>
        </w:rPr>
      </w:pPr>
      <w:r>
        <w:rPr>
          <w:rFonts w:hint="eastAsia" w:ascii="宋体" w:hAnsi="宋体" w:cs="宋体"/>
          <w:sz w:val="21"/>
          <w:szCs w:val="21"/>
        </w:rPr>
        <w:t>电  话： 023-89133902</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地  址： 两江新区黄山大道东段186号1410室</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（二）采购代理机构：重庆宏仁招标代理有限公司</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联系人： 罗老师</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电  话：（023）63993330</w:t>
      </w:r>
    </w:p>
    <w:p>
      <w:pPr>
        <w:tabs>
          <w:tab w:val="left" w:pos="720"/>
        </w:tabs>
        <w:adjustRightInd w:val="0"/>
        <w:snapToGrid w:val="0"/>
        <w:spacing w:line="360" w:lineRule="auto"/>
        <w:ind w:firstLine="411" w:firstLineChars="196"/>
        <w:rPr>
          <w:rFonts w:hint="eastAsia" w:ascii="宋体" w:hAnsi="宋体" w:cs="宋体"/>
          <w:sz w:val="21"/>
          <w:szCs w:val="21"/>
        </w:rPr>
      </w:pPr>
      <w:r>
        <w:rPr>
          <w:rFonts w:hint="eastAsia" w:ascii="宋体" w:hAnsi="宋体" w:cs="宋体"/>
          <w:sz w:val="21"/>
          <w:szCs w:val="21"/>
        </w:rPr>
        <w:t>手  机：15320815690</w:t>
      </w:r>
    </w:p>
    <w:p>
      <w:pPr>
        <w:tabs>
          <w:tab w:val="left" w:pos="720"/>
        </w:tabs>
        <w:adjustRightInd w:val="0"/>
        <w:snapToGrid w:val="0"/>
        <w:spacing w:line="360" w:lineRule="auto"/>
        <w:ind w:firstLine="411" w:firstLineChars="196"/>
        <w:rPr>
          <w:rFonts w:hint="default" w:ascii="宋体" w:hAnsi="宋体" w:eastAsia="宋体" w:cs="宋体"/>
          <w:sz w:val="21"/>
          <w:szCs w:val="21"/>
          <w:lang w:val="en-US" w:eastAsia="zh-CN"/>
        </w:rPr>
      </w:pPr>
      <w:r>
        <w:rPr>
          <w:rFonts w:hint="eastAsia" w:ascii="宋体" w:hAnsi="宋体" w:cs="宋体"/>
          <w:sz w:val="21"/>
          <w:szCs w:val="21"/>
        </w:rPr>
        <w:t>地  址：重庆市渝北区</w:t>
      </w:r>
      <w:r>
        <w:rPr>
          <w:rFonts w:hint="eastAsia" w:ascii="宋体" w:hAnsi="宋体" w:cs="宋体"/>
          <w:sz w:val="21"/>
          <w:szCs w:val="21"/>
          <w:lang w:val="en-US" w:eastAsia="zh-CN"/>
        </w:rPr>
        <w:t>星光大道60号</w:t>
      </w:r>
    </w:p>
    <w:p>
      <w:pPr>
        <w:snapToGrid w:val="0"/>
        <w:spacing w:line="360" w:lineRule="auto"/>
        <w:jc w:val="center"/>
        <w:rPr>
          <w:rFonts w:hint="eastAsia" w:ascii="宋体" w:hAnsi="宋体" w:cs="宋体"/>
          <w:sz w:val="21"/>
          <w:szCs w:val="21"/>
        </w:rPr>
      </w:pPr>
    </w:p>
    <w:p>
      <w:pPr>
        <w:snapToGrid w:val="0"/>
        <w:spacing w:line="360" w:lineRule="auto"/>
        <w:jc w:val="center"/>
        <w:rPr>
          <w:rFonts w:hint="eastAsia" w:ascii="宋体" w:hAnsi="宋体" w:cs="宋体"/>
          <w:sz w:val="21"/>
          <w:szCs w:val="21"/>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pStyle w:val="2"/>
        <w:ind w:left="560" w:firstLine="880"/>
        <w:rPr>
          <w:rFonts w:hint="eastAsia"/>
        </w:rPr>
      </w:pPr>
    </w:p>
    <w:p>
      <w:pPr>
        <w:snapToGrid w:val="0"/>
        <w:spacing w:line="360" w:lineRule="auto"/>
        <w:jc w:val="center"/>
        <w:rPr>
          <w:rFonts w:hint="eastAsia" w:ascii="宋体" w:hAnsi="宋体" w:cs="宋体"/>
          <w:sz w:val="21"/>
          <w:szCs w:val="21"/>
        </w:rPr>
      </w:pPr>
    </w:p>
    <w:p>
      <w:pPr>
        <w:pStyle w:val="24"/>
        <w:ind w:left="560" w:firstLine="480"/>
        <w:rPr>
          <w:rFonts w:hint="eastAsia" w:ascii="宋体" w:hAnsi="宋体"/>
          <w:sz w:val="24"/>
        </w:rPr>
      </w:pPr>
      <w:r>
        <w:rPr>
          <w:rFonts w:hint="eastAsia" w:ascii="宋体" w:hAnsi="宋体"/>
          <w:sz w:val="24"/>
          <w:szCs w:val="24"/>
        </w:rPr>
        <w:t>附表—— 《询价文件发售登记表》</w:t>
      </w:r>
    </w:p>
    <w:p>
      <w:pPr>
        <w:jc w:val="center"/>
        <w:rPr>
          <w:rFonts w:hint="eastAsia" w:ascii="宋体" w:hAnsi="宋体"/>
          <w:b/>
          <w:bCs/>
          <w:sz w:val="44"/>
          <w:szCs w:val="44"/>
        </w:rPr>
      </w:pPr>
    </w:p>
    <w:p>
      <w:pPr>
        <w:jc w:val="center"/>
        <w:rPr>
          <w:rFonts w:ascii="宋体" w:hAnsi="宋体"/>
          <w:b/>
          <w:bCs/>
          <w:sz w:val="44"/>
          <w:szCs w:val="44"/>
        </w:rPr>
      </w:pPr>
      <w:r>
        <w:rPr>
          <w:rFonts w:hint="eastAsia" w:ascii="宋体" w:hAnsi="宋体"/>
          <w:b/>
          <w:bCs/>
          <w:sz w:val="44"/>
          <w:szCs w:val="44"/>
        </w:rPr>
        <w:t>询价文件发售登记表</w:t>
      </w:r>
    </w:p>
    <w:p>
      <w:pPr>
        <w:jc w:val="left"/>
        <w:rPr>
          <w:rFonts w:hint="eastAsia" w:ascii="宋体" w:hAnsi="宋体"/>
          <w:b/>
          <w:bCs/>
          <w:spacing w:val="40"/>
        </w:rPr>
      </w:pPr>
    </w:p>
    <w:p>
      <w:pPr>
        <w:jc w:val="left"/>
        <w:rPr>
          <w:rFonts w:hint="eastAsia" w:ascii="宋体" w:hAnsi="宋体"/>
          <w:b/>
          <w:bCs/>
          <w:spacing w:val="40"/>
        </w:rPr>
      </w:pPr>
    </w:p>
    <w:tbl>
      <w:tblPr>
        <w:tblStyle w:val="5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199"/>
        <w:gridCol w:w="958"/>
        <w:gridCol w:w="36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2157" w:type="dxa"/>
            <w:vAlign w:val="center"/>
          </w:tcPr>
          <w:p>
            <w:pPr>
              <w:spacing w:line="360" w:lineRule="auto"/>
              <w:rPr>
                <w:rFonts w:hint="eastAsia" w:ascii="宋体" w:hAnsi="宋体" w:cs="宋体"/>
              </w:rPr>
            </w:pPr>
            <w:r>
              <w:rPr>
                <w:rFonts w:hint="eastAsia" w:ascii="宋体" w:hAnsi="宋体" w:cs="宋体"/>
              </w:rPr>
              <w:t>项目编号/项目名称</w:t>
            </w:r>
          </w:p>
        </w:tc>
        <w:tc>
          <w:tcPr>
            <w:tcW w:w="6773" w:type="dxa"/>
            <w:gridSpan w:val="3"/>
            <w:vAlign w:val="center"/>
          </w:tcPr>
          <w:p>
            <w:pPr>
              <w:rPr>
                <w:rFonts w:hint="eastAsia" w:ascii="宋体" w:hAnsi="宋体" w:eastAsia="宋体"/>
                <w:b/>
                <w:bCs/>
                <w:lang w:eastAsia="zh-CN"/>
              </w:rPr>
            </w:pPr>
            <w:r>
              <w:rPr>
                <w:rFonts w:hint="eastAsia" w:ascii="宋体" w:hAnsi="宋体"/>
                <w:b/>
                <w:bCs/>
              </w:rPr>
              <w:t>HRZ21A07</w:t>
            </w:r>
            <w:r>
              <w:rPr>
                <w:rFonts w:hint="eastAsia" w:ascii="宋体" w:hAnsi="宋体"/>
                <w:b/>
                <w:bCs/>
                <w:lang w:val="en-US" w:eastAsia="zh-CN"/>
              </w:rPr>
              <w:t>3</w:t>
            </w:r>
          </w:p>
          <w:p>
            <w:pPr>
              <w:rPr>
                <w:rFonts w:hint="eastAsia" w:ascii="宋体" w:hAnsi="宋体"/>
                <w:b/>
                <w:bCs/>
              </w:rPr>
            </w:pPr>
            <w:r>
              <w:rPr>
                <w:rFonts w:hint="eastAsia" w:ascii="宋体" w:hAnsi="宋体" w:cs="宋体"/>
              </w:rPr>
              <w:t>《秸秆树盘覆盖果园行间绿肥免耕综合技术示范》绿肥种子及病虫害绿色防控物资采购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157" w:type="dxa"/>
            <w:vAlign w:val="center"/>
          </w:tcPr>
          <w:p>
            <w:pPr>
              <w:spacing w:line="360" w:lineRule="auto"/>
              <w:ind w:firstLine="140" w:firstLineChars="50"/>
              <w:rPr>
                <w:rFonts w:hint="eastAsia" w:ascii="宋体" w:hAnsi="宋体" w:cs="宋体"/>
              </w:rPr>
            </w:pPr>
            <w:r>
              <w:rPr>
                <w:rFonts w:hint="eastAsia" w:ascii="宋体" w:hAnsi="宋体" w:cs="宋体"/>
              </w:rPr>
              <w:t>供应商名称</w:t>
            </w:r>
          </w:p>
        </w:tc>
        <w:tc>
          <w:tcPr>
            <w:tcW w:w="6773" w:type="dxa"/>
            <w:gridSpan w:val="3"/>
            <w:vAlign w:val="bottom"/>
          </w:tcPr>
          <w:p>
            <w:pPr>
              <w:jc w:val="right"/>
              <w:rPr>
                <w:rFonts w:hint="eastAsia" w:ascii="宋体" w:hAnsi="宋体" w:cs="宋体"/>
              </w:rPr>
            </w:pPr>
            <w:r>
              <w:rPr>
                <w:rFonts w:hint="eastAsia" w:ascii="宋体" w:hAnsi="宋体" w:cs="宋体"/>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联系人</w:t>
            </w:r>
          </w:p>
        </w:tc>
        <w:tc>
          <w:tcPr>
            <w:tcW w:w="2199" w:type="dxa"/>
            <w:vAlign w:val="center"/>
          </w:tcPr>
          <w:p>
            <w:pPr>
              <w:jc w:val="left"/>
              <w:rPr>
                <w:rFonts w:hint="eastAsia" w:ascii="宋体" w:hAnsi="宋体" w:cs="宋体"/>
              </w:rPr>
            </w:pPr>
          </w:p>
        </w:tc>
        <w:tc>
          <w:tcPr>
            <w:tcW w:w="958" w:type="dxa"/>
            <w:vAlign w:val="center"/>
          </w:tcPr>
          <w:p>
            <w:pPr>
              <w:jc w:val="left"/>
              <w:rPr>
                <w:rFonts w:hint="eastAsia" w:ascii="宋体" w:hAnsi="宋体" w:cs="宋体"/>
              </w:rPr>
            </w:pPr>
            <w:r>
              <w:rPr>
                <w:rFonts w:hint="eastAsia" w:ascii="宋体" w:hAnsi="宋体" w:cs="宋体"/>
              </w:rPr>
              <w:t>手机</w:t>
            </w:r>
          </w:p>
        </w:tc>
        <w:tc>
          <w:tcPr>
            <w:tcW w:w="3616" w:type="dxa"/>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办公电话</w:t>
            </w:r>
          </w:p>
        </w:tc>
        <w:tc>
          <w:tcPr>
            <w:tcW w:w="2199" w:type="dxa"/>
            <w:vAlign w:val="center"/>
          </w:tcPr>
          <w:p>
            <w:pPr>
              <w:jc w:val="left"/>
              <w:rPr>
                <w:rFonts w:hint="eastAsia" w:ascii="宋体" w:hAnsi="宋体" w:cs="宋体"/>
              </w:rPr>
            </w:pPr>
          </w:p>
        </w:tc>
        <w:tc>
          <w:tcPr>
            <w:tcW w:w="958" w:type="dxa"/>
            <w:vAlign w:val="center"/>
          </w:tcPr>
          <w:p>
            <w:pPr>
              <w:jc w:val="left"/>
              <w:rPr>
                <w:rFonts w:hint="eastAsia" w:ascii="宋体" w:hAnsi="宋体" w:cs="宋体"/>
              </w:rPr>
            </w:pPr>
            <w:r>
              <w:rPr>
                <w:rFonts w:hint="eastAsia" w:ascii="宋体" w:hAnsi="宋体" w:cs="宋体"/>
              </w:rPr>
              <w:t>传真</w:t>
            </w:r>
          </w:p>
        </w:tc>
        <w:tc>
          <w:tcPr>
            <w:tcW w:w="3616" w:type="dxa"/>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E-mail</w:t>
            </w:r>
          </w:p>
        </w:tc>
        <w:tc>
          <w:tcPr>
            <w:tcW w:w="6773" w:type="dxa"/>
            <w:gridSpan w:val="3"/>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57" w:type="dxa"/>
            <w:vAlign w:val="center"/>
          </w:tcPr>
          <w:p>
            <w:pPr>
              <w:spacing w:line="360" w:lineRule="auto"/>
              <w:ind w:firstLine="560" w:firstLineChars="200"/>
              <w:rPr>
                <w:rFonts w:hint="eastAsia" w:ascii="宋体" w:hAnsi="宋体" w:cs="宋体"/>
              </w:rPr>
            </w:pPr>
            <w:r>
              <w:rPr>
                <w:rFonts w:hint="eastAsia" w:ascii="宋体" w:hAnsi="宋体" w:cs="宋体"/>
              </w:rPr>
              <w:t>单位地址</w:t>
            </w:r>
          </w:p>
        </w:tc>
        <w:tc>
          <w:tcPr>
            <w:tcW w:w="6773" w:type="dxa"/>
            <w:gridSpan w:val="3"/>
            <w:vAlign w:val="center"/>
          </w:tcPr>
          <w:p>
            <w:pPr>
              <w:jc w:val="left"/>
              <w:rPr>
                <w:rFonts w:hint="eastAsia"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930" w:type="dxa"/>
            <w:gridSpan w:val="4"/>
            <w:vAlign w:val="center"/>
          </w:tcPr>
          <w:p>
            <w:pPr>
              <w:spacing w:line="360" w:lineRule="auto"/>
              <w:ind w:firstLine="560" w:firstLineChars="200"/>
              <w:rPr>
                <w:rFonts w:hint="eastAsia" w:ascii="宋体" w:hAnsi="宋体" w:cs="宋体"/>
              </w:rPr>
            </w:pPr>
            <w:r>
              <w:rPr>
                <w:rFonts w:hint="eastAsia" w:ascii="宋体" w:hAnsi="宋体" w:cs="宋体"/>
              </w:rPr>
              <w:t>购本项目标书 1  份，共计  300   元。</w:t>
            </w:r>
          </w:p>
        </w:tc>
      </w:tr>
    </w:tbl>
    <w:p>
      <w:pPr>
        <w:spacing w:line="360" w:lineRule="auto"/>
        <w:ind w:firstLine="420" w:firstLineChars="200"/>
        <w:rPr>
          <w:rFonts w:hint="eastAsia" w:ascii="宋体" w:hAnsi="宋体" w:cs="宋体"/>
          <w:sz w:val="21"/>
          <w:szCs w:val="21"/>
        </w:rPr>
      </w:pPr>
      <w:r>
        <w:rPr>
          <w:rFonts w:hint="eastAsia" w:ascii="宋体" w:hAnsi="宋体" w:cs="宋体"/>
          <w:sz w:val="21"/>
          <w:szCs w:val="21"/>
        </w:rPr>
        <w:t>标书金额：300元/分包  发售人：重庆宏仁招标代理有限公司  日期：</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说明：</w:t>
      </w:r>
    </w:p>
    <w:p>
      <w:pPr>
        <w:spacing w:line="360" w:lineRule="auto"/>
        <w:ind w:firstLine="420" w:firstLineChars="200"/>
        <w:rPr>
          <w:rFonts w:hint="eastAsia" w:ascii="宋体" w:hAnsi="宋体" w:cs="宋体"/>
          <w:sz w:val="21"/>
          <w:szCs w:val="21"/>
          <w:highlight w:val="none"/>
        </w:rPr>
      </w:pPr>
      <w:r>
        <w:rPr>
          <w:rFonts w:hint="eastAsia" w:ascii="宋体" w:hAnsi="宋体" w:cs="宋体"/>
          <w:sz w:val="21"/>
          <w:szCs w:val="21"/>
          <w:lang w:val="en-US" w:eastAsia="zh-CN"/>
        </w:rPr>
        <w:t>1.</w:t>
      </w:r>
      <w:r>
        <w:rPr>
          <w:rFonts w:hint="eastAsia" w:ascii="宋体" w:hAnsi="宋体" w:cs="宋体"/>
          <w:sz w:val="21"/>
          <w:szCs w:val="21"/>
        </w:rPr>
        <w:t>报名和招标文件发售期</w:t>
      </w:r>
      <w:r>
        <w:rPr>
          <w:rFonts w:hint="eastAsia" w:ascii="宋体" w:hAnsi="宋体" w:cs="宋体"/>
          <w:sz w:val="21"/>
          <w:szCs w:val="21"/>
          <w:highlight w:val="none"/>
        </w:rPr>
        <w:t>：2021年7月</w:t>
      </w:r>
      <w:r>
        <w:rPr>
          <w:rFonts w:hint="eastAsia" w:ascii="宋体" w:hAnsi="宋体" w:cs="宋体"/>
          <w:sz w:val="21"/>
          <w:szCs w:val="21"/>
          <w:highlight w:val="none"/>
          <w:lang w:val="en-US" w:eastAsia="zh-CN"/>
        </w:rPr>
        <w:t>28</w:t>
      </w:r>
      <w:r>
        <w:rPr>
          <w:rFonts w:hint="eastAsia" w:ascii="宋体" w:hAnsi="宋体" w:cs="宋体"/>
          <w:sz w:val="21"/>
          <w:szCs w:val="21"/>
          <w:highlight w:val="none"/>
        </w:rPr>
        <w:t>日-2021年7月</w:t>
      </w:r>
      <w:r>
        <w:rPr>
          <w:rFonts w:hint="eastAsia" w:ascii="宋体" w:hAnsi="宋体" w:cs="宋体"/>
          <w:sz w:val="21"/>
          <w:szCs w:val="21"/>
          <w:highlight w:val="none"/>
          <w:lang w:val="en-US" w:eastAsia="zh-CN"/>
        </w:rPr>
        <w:t>30</w:t>
      </w:r>
      <w:r>
        <w:rPr>
          <w:rFonts w:hint="eastAsia" w:ascii="宋体" w:hAnsi="宋体" w:cs="宋体"/>
          <w:sz w:val="21"/>
          <w:szCs w:val="21"/>
          <w:highlight w:val="none"/>
        </w:rPr>
        <w:t>日17:00</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联系人：罗老师  电话：63993330  邮箱：</w:t>
      </w:r>
      <w:r>
        <w:rPr>
          <w:rFonts w:ascii="宋体" w:hAnsi="宋体" w:cs="宋体"/>
          <w:sz w:val="21"/>
          <w:szCs w:val="21"/>
        </w:rPr>
        <w:t>107044006@qq.com</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2.请完整填写本表。</w:t>
      </w:r>
    </w:p>
    <w:p>
      <w:pPr>
        <w:pStyle w:val="5"/>
        <w:spacing w:before="0" w:after="0" w:line="360" w:lineRule="auto"/>
        <w:jc w:val="center"/>
        <w:rPr>
          <w:rFonts w:ascii="宋体" w:hAnsi="宋体" w:cs="宋体"/>
          <w:b w:val="0"/>
          <w:bCs/>
          <w:sz w:val="44"/>
          <w:szCs w:val="44"/>
        </w:rPr>
      </w:pPr>
      <w:r>
        <w:rPr>
          <w:rFonts w:hint="eastAsia" w:ascii="宋体" w:hAnsi="宋体" w:cs="宋体"/>
          <w:sz w:val="21"/>
          <w:szCs w:val="21"/>
        </w:rPr>
        <w:br w:type="page"/>
      </w:r>
      <w:bookmarkStart w:id="49" w:name="_Toc8787"/>
      <w:bookmarkStart w:id="50" w:name="_Toc26991"/>
      <w:bookmarkStart w:id="51" w:name="_Toc29979"/>
      <w:bookmarkStart w:id="52" w:name="_Toc487204778"/>
      <w:bookmarkStart w:id="53" w:name="_Toc521318170"/>
      <w:r>
        <w:rPr>
          <w:rFonts w:hint="eastAsia" w:ascii="宋体" w:hAnsi="宋体" w:eastAsia="宋体" w:cs="宋体"/>
          <w:sz w:val="44"/>
          <w:szCs w:val="44"/>
        </w:rPr>
        <w:t>第二篇 供应商须知</w:t>
      </w:r>
      <w:bookmarkEnd w:id="48"/>
      <w:bookmarkEnd w:id="49"/>
      <w:bookmarkEnd w:id="50"/>
      <w:bookmarkEnd w:id="51"/>
      <w:bookmarkEnd w:id="52"/>
      <w:bookmarkEnd w:id="53"/>
    </w:p>
    <w:p>
      <w:pPr>
        <w:pStyle w:val="6"/>
        <w:spacing w:before="0" w:after="0" w:line="360" w:lineRule="auto"/>
        <w:rPr>
          <w:rFonts w:ascii="宋体" w:hAnsi="宋体" w:cs="宋体"/>
          <w:sz w:val="21"/>
          <w:szCs w:val="21"/>
        </w:rPr>
      </w:pPr>
      <w:bookmarkStart w:id="54" w:name="_Toc25724"/>
      <w:bookmarkStart w:id="55" w:name="_Toc521318171"/>
      <w:bookmarkStart w:id="56" w:name="_Toc342913389"/>
      <w:bookmarkStart w:id="57" w:name="_Toc487204779"/>
      <w:bookmarkStart w:id="58" w:name="_Toc426965630"/>
      <w:bookmarkStart w:id="59" w:name="_Toc11390"/>
      <w:bookmarkStart w:id="60" w:name="_Toc2784"/>
      <w:r>
        <w:rPr>
          <w:rFonts w:hint="eastAsia" w:ascii="宋体" w:hAnsi="宋体" w:cs="宋体"/>
          <w:sz w:val="21"/>
          <w:szCs w:val="21"/>
        </w:rPr>
        <w:t>一、询价费用</w:t>
      </w:r>
      <w:bookmarkEnd w:id="54"/>
      <w:bookmarkEnd w:id="55"/>
      <w:bookmarkEnd w:id="56"/>
      <w:bookmarkEnd w:id="57"/>
      <w:bookmarkEnd w:id="58"/>
      <w:bookmarkEnd w:id="59"/>
      <w:bookmarkEnd w:id="60"/>
    </w:p>
    <w:p>
      <w:pPr>
        <w:pStyle w:val="193"/>
        <w:spacing w:line="360" w:lineRule="auto"/>
        <w:ind w:firstLine="420" w:firstLineChars="200"/>
        <w:rPr>
          <w:rFonts w:hAnsi="宋体"/>
        </w:rPr>
      </w:pPr>
      <w:r>
        <w:rPr>
          <w:rFonts w:hint="eastAsia" w:hAnsi="宋体"/>
        </w:rPr>
        <w:t>参与询价的供应商应承担其编制响应文件与递交响应文件所涉及的一切费用，不论询价结果如何，采购人和采购代理机构在任何情况下无义务也无责任承担这些费用。</w:t>
      </w:r>
    </w:p>
    <w:p>
      <w:pPr>
        <w:pStyle w:val="6"/>
        <w:tabs>
          <w:tab w:val="left" w:pos="2640"/>
        </w:tabs>
        <w:spacing w:before="0" w:after="0" w:line="360" w:lineRule="auto"/>
        <w:rPr>
          <w:rFonts w:ascii="宋体" w:hAnsi="宋体" w:cs="宋体"/>
          <w:sz w:val="21"/>
          <w:szCs w:val="21"/>
        </w:rPr>
      </w:pPr>
      <w:bookmarkStart w:id="61" w:name="_Toc342913391"/>
      <w:bookmarkStart w:id="62" w:name="_Toc426965631"/>
      <w:bookmarkStart w:id="63" w:name="_Toc487204780"/>
      <w:bookmarkStart w:id="64" w:name="_Toc521318172"/>
      <w:bookmarkStart w:id="65" w:name="_Toc8916"/>
      <w:bookmarkStart w:id="66" w:name="_Toc17314"/>
      <w:bookmarkStart w:id="67" w:name="_Toc12427"/>
      <w:r>
        <w:rPr>
          <w:rFonts w:hint="eastAsia" w:ascii="宋体" w:hAnsi="宋体" w:cs="宋体"/>
          <w:sz w:val="21"/>
          <w:szCs w:val="21"/>
        </w:rPr>
        <w:t>二、</w:t>
      </w:r>
      <w:bookmarkEnd w:id="61"/>
      <w:bookmarkEnd w:id="62"/>
      <w:bookmarkEnd w:id="63"/>
      <w:r>
        <w:rPr>
          <w:rFonts w:hint="eastAsia" w:ascii="宋体" w:hAnsi="宋体" w:cs="宋体"/>
          <w:sz w:val="21"/>
          <w:szCs w:val="21"/>
        </w:rPr>
        <w:t>询价通知书</w:t>
      </w:r>
      <w:bookmarkEnd w:id="64"/>
      <w:bookmarkEnd w:id="65"/>
      <w:bookmarkEnd w:id="66"/>
      <w:bookmarkEnd w:id="67"/>
      <w:r>
        <w:rPr>
          <w:rFonts w:hint="eastAsia" w:ascii="宋体" w:hAnsi="宋体" w:cs="宋体"/>
          <w:sz w:val="21"/>
          <w:szCs w:val="21"/>
        </w:rPr>
        <w:tab/>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（一）询价通知书由询价邀请书、供应商须知、询价项目</w:t>
      </w:r>
      <w:r>
        <w:rPr>
          <w:rFonts w:hint="eastAsia" w:ascii="宋体" w:hAnsi="宋体" w:cs="宋体"/>
          <w:sz w:val="21"/>
          <w:szCs w:val="21"/>
          <w:lang w:val="en-US" w:eastAsia="zh-CN"/>
        </w:rPr>
        <w:t>技术需求</w:t>
      </w:r>
      <w:r>
        <w:rPr>
          <w:rFonts w:hint="eastAsia" w:ascii="宋体" w:hAnsi="宋体" w:cs="宋体"/>
          <w:sz w:val="21"/>
          <w:szCs w:val="21"/>
        </w:rPr>
        <w:t>、询价项目商务需求、合同主要条款和合同格式、响应文件格式要求六部分组成。</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（二）采购人（或采购代理机构）所作的一切有效的书面通知、修改及补充，都是询价通知书不可分割的部分。</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（三）询价通知书的解释</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8" w:name="_Toc318166429"/>
      <w:bookmarkStart w:id="69" w:name="_Toc318159349"/>
      <w:bookmarkStart w:id="70" w:name="_Toc318159780"/>
      <w:bookmarkStart w:id="71" w:name="_Toc318159160"/>
    </w:p>
    <w:bookmarkEnd w:id="68"/>
    <w:bookmarkEnd w:id="69"/>
    <w:bookmarkEnd w:id="70"/>
    <w:bookmarkEnd w:id="71"/>
    <w:p>
      <w:pPr>
        <w:pStyle w:val="6"/>
        <w:spacing w:before="0" w:after="0" w:line="360" w:lineRule="auto"/>
        <w:rPr>
          <w:rFonts w:ascii="宋体" w:hAnsi="宋体" w:cs="宋体"/>
          <w:sz w:val="21"/>
          <w:szCs w:val="21"/>
        </w:rPr>
      </w:pPr>
      <w:bookmarkStart w:id="72" w:name="_Toc487204781"/>
      <w:bookmarkStart w:id="73" w:name="_Toc102227318"/>
      <w:bookmarkStart w:id="74" w:name="_Toc26165"/>
      <w:bookmarkStart w:id="75" w:name="_Toc426965632"/>
      <w:bookmarkStart w:id="76" w:name="_Toc16714"/>
      <w:bookmarkStart w:id="77" w:name="_Toc29953"/>
      <w:bookmarkStart w:id="78" w:name="_Toc342913392"/>
      <w:bookmarkStart w:id="79" w:name="_Toc521318173"/>
      <w:bookmarkStart w:id="80" w:name="_Toc179714297"/>
      <w:r>
        <w:rPr>
          <w:rFonts w:hint="eastAsia" w:ascii="宋体" w:hAnsi="宋体" w:cs="宋体"/>
          <w:sz w:val="21"/>
          <w:szCs w:val="21"/>
        </w:rPr>
        <w:t>三、询价要求</w:t>
      </w:r>
      <w:bookmarkEnd w:id="72"/>
      <w:bookmarkEnd w:id="73"/>
      <w:bookmarkEnd w:id="74"/>
      <w:bookmarkEnd w:id="75"/>
      <w:bookmarkEnd w:id="76"/>
      <w:bookmarkEnd w:id="77"/>
      <w:bookmarkEnd w:id="78"/>
      <w:bookmarkEnd w:id="79"/>
      <w:bookmarkEnd w:id="80"/>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（一）响应文件</w:t>
      </w:r>
    </w:p>
    <w:p>
      <w:pPr>
        <w:spacing w:line="360" w:lineRule="auto"/>
        <w:ind w:firstLine="420" w:firstLineChars="200"/>
        <w:rPr>
          <w:rFonts w:ascii="宋体" w:hAnsi="宋体" w:cs="宋体"/>
          <w:sz w:val="21"/>
          <w:szCs w:val="21"/>
        </w:rPr>
      </w:pPr>
      <w:r>
        <w:rPr>
          <w:rFonts w:hint="eastAsia" w:ascii="宋体" w:hAnsi="宋体" w:cs="宋体"/>
          <w:sz w:val="21"/>
          <w:szCs w:val="21"/>
        </w:rPr>
        <w:t>供应商应当按照询价通知书的要求编制响应文件，并对询价通知书提出的要求和条件作出实质性响应，响应文件原则上采用软面订本，同时应编制完整的页码、目录。</w:t>
      </w:r>
    </w:p>
    <w:p>
      <w:pPr>
        <w:spacing w:line="360" w:lineRule="auto"/>
        <w:ind w:firstLine="420" w:firstLineChars="200"/>
        <w:rPr>
          <w:rFonts w:ascii="宋体" w:hAnsi="宋体" w:cs="宋体"/>
          <w:sz w:val="21"/>
          <w:szCs w:val="21"/>
        </w:rPr>
      </w:pPr>
      <w:r>
        <w:rPr>
          <w:rFonts w:hint="eastAsia" w:ascii="宋体" w:hAnsi="宋体" w:cs="宋体"/>
          <w:sz w:val="21"/>
          <w:szCs w:val="21"/>
        </w:rPr>
        <w:t>1、响应文件组成</w:t>
      </w:r>
    </w:p>
    <w:p>
      <w:pPr>
        <w:spacing w:line="360" w:lineRule="auto"/>
        <w:ind w:firstLine="420" w:firstLineChars="200"/>
        <w:rPr>
          <w:rFonts w:ascii="宋体" w:hAnsi="宋体" w:cs="宋体"/>
          <w:sz w:val="21"/>
          <w:szCs w:val="21"/>
        </w:rPr>
      </w:pPr>
      <w:r>
        <w:rPr>
          <w:rFonts w:hint="eastAsia" w:ascii="宋体" w:hAnsi="宋体" w:cs="宋体"/>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pPr>
        <w:spacing w:line="360" w:lineRule="auto"/>
        <w:ind w:firstLine="420" w:firstLineChars="200"/>
        <w:rPr>
          <w:rFonts w:ascii="宋体" w:hAnsi="宋体" w:cs="宋体"/>
          <w:sz w:val="21"/>
          <w:szCs w:val="21"/>
        </w:rPr>
      </w:pPr>
      <w:r>
        <w:rPr>
          <w:rFonts w:hint="eastAsia" w:ascii="宋体" w:hAnsi="宋体" w:cs="宋体"/>
          <w:sz w:val="21"/>
          <w:szCs w:val="21"/>
        </w:rPr>
        <w:t>2、联合体</w:t>
      </w:r>
    </w:p>
    <w:p>
      <w:pPr>
        <w:spacing w:line="360" w:lineRule="auto"/>
        <w:ind w:firstLine="420" w:firstLineChars="200"/>
        <w:rPr>
          <w:rFonts w:ascii="宋体" w:hAnsi="宋体" w:cs="宋体"/>
          <w:sz w:val="21"/>
          <w:szCs w:val="21"/>
        </w:rPr>
      </w:pPr>
      <w:r>
        <w:rPr>
          <w:rFonts w:hint="eastAsia" w:ascii="宋体" w:hAnsi="宋体" w:cs="宋体"/>
          <w:sz w:val="21"/>
          <w:szCs w:val="21"/>
        </w:rPr>
        <w:t>本项目不接受联合体竞标。</w:t>
      </w:r>
    </w:p>
    <w:p>
      <w:pPr>
        <w:spacing w:line="360" w:lineRule="auto"/>
        <w:ind w:firstLine="420" w:firstLineChars="200"/>
        <w:rPr>
          <w:rFonts w:ascii="宋体" w:hAnsi="宋体" w:cs="宋体"/>
          <w:sz w:val="21"/>
          <w:szCs w:val="21"/>
        </w:rPr>
      </w:pPr>
      <w:r>
        <w:rPr>
          <w:rFonts w:hint="eastAsia" w:ascii="宋体" w:hAnsi="宋体" w:cs="宋体"/>
          <w:sz w:val="21"/>
          <w:szCs w:val="21"/>
        </w:rPr>
        <w:t>3、询价有效期：响应文件及有关承诺文件有效期为询价开始时间起90天。</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（二）保证金：</w:t>
      </w:r>
    </w:p>
    <w:p>
      <w:pPr>
        <w:spacing w:line="360" w:lineRule="auto"/>
        <w:ind w:firstLine="420" w:firstLineChars="200"/>
        <w:rPr>
          <w:rFonts w:ascii="宋体" w:hAnsi="宋体" w:cs="宋体"/>
          <w:sz w:val="21"/>
          <w:szCs w:val="21"/>
        </w:rPr>
      </w:pPr>
      <w:r>
        <w:rPr>
          <w:rFonts w:hint="eastAsia" w:ascii="宋体" w:hAnsi="宋体" w:cs="宋体"/>
          <w:sz w:val="21"/>
          <w:szCs w:val="21"/>
        </w:rPr>
        <w:t>1、供应商提交保证金金额和方式详见“</w:t>
      </w:r>
      <w:r>
        <w:rPr>
          <w:rFonts w:hint="eastAsia" w:ascii="宋体" w:hAnsi="宋体" w:cs="宋体"/>
          <w:sz w:val="21"/>
          <w:szCs w:val="21"/>
          <w:u w:val="single"/>
        </w:rPr>
        <w:t>第一篇”</w:t>
      </w:r>
      <w:r>
        <w:rPr>
          <w:rFonts w:hint="eastAsia" w:ascii="宋体" w:hAnsi="宋体" w:cs="宋体"/>
          <w:sz w:val="21"/>
          <w:szCs w:val="21"/>
        </w:rPr>
        <w:t>；</w:t>
      </w:r>
    </w:p>
    <w:p>
      <w:pPr>
        <w:spacing w:line="360" w:lineRule="auto"/>
        <w:ind w:firstLine="420" w:firstLineChars="200"/>
        <w:rPr>
          <w:rFonts w:ascii="宋体" w:hAnsi="宋体" w:cs="宋体"/>
          <w:sz w:val="21"/>
          <w:szCs w:val="21"/>
        </w:rPr>
      </w:pPr>
      <w:r>
        <w:rPr>
          <w:rFonts w:hint="eastAsia" w:ascii="宋体" w:hAnsi="宋体" w:cs="宋体"/>
          <w:sz w:val="21"/>
          <w:szCs w:val="21"/>
        </w:rPr>
        <w:t>2、发生以下情况之一者，保证金不予退还：</w:t>
      </w:r>
    </w:p>
    <w:p>
      <w:pPr>
        <w:snapToGrid w:val="0"/>
        <w:spacing w:line="360" w:lineRule="auto"/>
        <w:ind w:left="476" w:leftChars="170"/>
        <w:rPr>
          <w:rFonts w:ascii="宋体" w:hAnsi="宋体" w:cs="宋体"/>
          <w:sz w:val="21"/>
          <w:szCs w:val="21"/>
        </w:rPr>
      </w:pPr>
      <w:r>
        <w:rPr>
          <w:rFonts w:hint="eastAsia" w:ascii="宋体" w:hAnsi="宋体" w:cs="宋体"/>
          <w:sz w:val="21"/>
          <w:szCs w:val="21"/>
        </w:rPr>
        <w:t>2.1供应商在提交响应文件截止时间后撤回响应文件的；</w:t>
      </w:r>
      <w:r>
        <w:rPr>
          <w:rFonts w:hint="eastAsia" w:ascii="宋体" w:hAnsi="宋体" w:cs="宋体"/>
          <w:sz w:val="21"/>
          <w:szCs w:val="21"/>
        </w:rPr>
        <w:br w:type="textWrapping"/>
      </w:r>
      <w:r>
        <w:rPr>
          <w:rFonts w:hint="eastAsia" w:ascii="宋体" w:hAnsi="宋体" w:cs="宋体"/>
          <w:sz w:val="21"/>
          <w:szCs w:val="21"/>
        </w:rPr>
        <w:t>2.2供应商在响应文件中提供虚假材料的；</w:t>
      </w:r>
      <w:r>
        <w:rPr>
          <w:rFonts w:hint="eastAsia" w:ascii="宋体" w:hAnsi="宋体" w:cs="宋体"/>
          <w:sz w:val="21"/>
          <w:szCs w:val="21"/>
        </w:rPr>
        <w:br w:type="textWrapping"/>
      </w:r>
      <w:r>
        <w:rPr>
          <w:rFonts w:hint="eastAsia" w:ascii="宋体" w:hAnsi="宋体" w:cs="宋体"/>
          <w:sz w:val="21"/>
          <w:szCs w:val="21"/>
        </w:rPr>
        <w:t>2.3除因不可抗力或询价通知书认可的情形以外，成交供应商不与采购人签订合同的；</w:t>
      </w:r>
      <w:r>
        <w:rPr>
          <w:rFonts w:hint="eastAsia" w:ascii="宋体" w:hAnsi="宋体" w:cs="宋体"/>
          <w:sz w:val="21"/>
          <w:szCs w:val="21"/>
        </w:rPr>
        <w:br w:type="textWrapping"/>
      </w:r>
      <w:r>
        <w:rPr>
          <w:rFonts w:hint="eastAsia" w:ascii="宋体" w:hAnsi="宋体" w:cs="宋体"/>
          <w:sz w:val="21"/>
          <w:szCs w:val="21"/>
        </w:rPr>
        <w:t>2.4供应商与采购人、其他供应商或者采购代理机构恶意串通的；</w:t>
      </w:r>
      <w:r>
        <w:rPr>
          <w:rFonts w:hint="eastAsia" w:ascii="宋体" w:hAnsi="宋体" w:cs="宋体"/>
          <w:sz w:val="21"/>
          <w:szCs w:val="21"/>
        </w:rPr>
        <w:br w:type="textWrapping"/>
      </w:r>
      <w:r>
        <w:rPr>
          <w:rFonts w:hint="eastAsia" w:ascii="宋体" w:hAnsi="宋体" w:cs="宋体"/>
          <w:sz w:val="21"/>
          <w:szCs w:val="21"/>
        </w:rPr>
        <w:t>2.5询价通知书规定的其他情形。</w:t>
      </w:r>
      <w:r>
        <w:rPr>
          <w:rFonts w:hint="eastAsia" w:ascii="宋体" w:hAnsi="宋体" w:cs="宋体"/>
          <w:sz w:val="21"/>
          <w:szCs w:val="21"/>
        </w:rPr>
        <w:br w:type="textWrapping"/>
      </w:r>
      <w:r>
        <w:rPr>
          <w:rFonts w:hint="eastAsia" w:ascii="宋体" w:hAnsi="宋体" w:cs="宋体"/>
          <w:sz w:val="21"/>
          <w:szCs w:val="21"/>
        </w:rPr>
        <w:t>（三）报价要求</w:t>
      </w:r>
    </w:p>
    <w:p>
      <w:pPr>
        <w:spacing w:line="360" w:lineRule="auto"/>
        <w:ind w:firstLine="420" w:firstLineChars="200"/>
        <w:rPr>
          <w:rFonts w:ascii="宋体" w:hAnsi="宋体" w:cs="宋体"/>
          <w:sz w:val="21"/>
          <w:szCs w:val="21"/>
        </w:rPr>
      </w:pPr>
      <w:r>
        <w:rPr>
          <w:rFonts w:hint="eastAsia" w:ascii="宋体" w:hAnsi="宋体" w:cs="宋体"/>
          <w:sz w:val="21"/>
          <w:szCs w:val="21"/>
        </w:rPr>
        <w:t>本项目为交钥匙工程，本次报价为人民币报价，供应商按照询价通知书的规定一次报出不得更改的价格。报价包括（但不限于）：货物费、运输费、装御费、培训费、保险费、税费（含关税）等所有费用。因成交供应商自身原因造成漏报、少报皆由其自行承担责任，采购人不再补偿。</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（四）修正错误</w:t>
      </w:r>
    </w:p>
    <w:p>
      <w:pPr>
        <w:spacing w:line="360" w:lineRule="auto"/>
        <w:ind w:firstLine="420" w:firstLineChars="200"/>
        <w:rPr>
          <w:rFonts w:ascii="宋体" w:hAnsi="宋体" w:cs="宋体"/>
          <w:sz w:val="21"/>
          <w:szCs w:val="21"/>
        </w:rPr>
      </w:pPr>
      <w:r>
        <w:rPr>
          <w:rFonts w:hint="eastAsia" w:ascii="宋体" w:hAnsi="宋体" w:cs="宋体"/>
          <w:sz w:val="21"/>
          <w:szCs w:val="21"/>
        </w:rPr>
        <w:t>若响应文件出现计算或表达上的错误，修正错误的原则如下：</w:t>
      </w:r>
    </w:p>
    <w:p>
      <w:pPr>
        <w:spacing w:line="360" w:lineRule="auto"/>
        <w:ind w:firstLine="420" w:firstLineChars="200"/>
        <w:rPr>
          <w:rFonts w:ascii="宋体" w:hAnsi="宋体" w:cs="宋体"/>
          <w:sz w:val="21"/>
          <w:szCs w:val="21"/>
        </w:rPr>
      </w:pPr>
      <w:r>
        <w:rPr>
          <w:rFonts w:hint="eastAsia" w:ascii="宋体" w:hAnsi="宋体" w:cs="宋体"/>
          <w:sz w:val="21"/>
          <w:szCs w:val="21"/>
        </w:rPr>
        <w:t>1.响应文件中报价函的内容与响应文件中相应内容不一致的，以报价函为准；</w:t>
      </w:r>
    </w:p>
    <w:p>
      <w:pPr>
        <w:spacing w:line="360" w:lineRule="auto"/>
        <w:ind w:firstLine="420" w:firstLineChars="200"/>
        <w:rPr>
          <w:rFonts w:ascii="宋体" w:hAnsi="宋体" w:cs="宋体"/>
          <w:sz w:val="21"/>
          <w:szCs w:val="21"/>
        </w:rPr>
      </w:pPr>
      <w:r>
        <w:rPr>
          <w:rFonts w:hint="eastAsia" w:ascii="宋体" w:hAnsi="宋体" w:cs="宋体"/>
          <w:sz w:val="21"/>
          <w:szCs w:val="21"/>
        </w:rPr>
        <w:t>2.大写金额和小写金额不一致的，以大写金额为准；</w:t>
      </w:r>
    </w:p>
    <w:p>
      <w:pPr>
        <w:spacing w:line="360" w:lineRule="auto"/>
        <w:ind w:firstLine="420" w:firstLineChars="200"/>
        <w:rPr>
          <w:rFonts w:ascii="宋体" w:hAnsi="宋体" w:cs="宋体"/>
          <w:sz w:val="21"/>
          <w:szCs w:val="21"/>
        </w:rPr>
      </w:pPr>
      <w:r>
        <w:rPr>
          <w:rFonts w:hint="eastAsia" w:ascii="宋体" w:hAnsi="宋体" w:cs="宋体"/>
          <w:sz w:val="21"/>
          <w:szCs w:val="21"/>
        </w:rPr>
        <w:t>3.单价金额小数点或者百分比有明显错位的，以报价函总价为准，并修改单价；</w:t>
      </w:r>
    </w:p>
    <w:p>
      <w:pPr>
        <w:spacing w:line="360" w:lineRule="auto"/>
        <w:ind w:firstLine="420" w:firstLineChars="200"/>
        <w:rPr>
          <w:rFonts w:ascii="宋体" w:hAnsi="宋体" w:cs="宋体"/>
          <w:sz w:val="21"/>
          <w:szCs w:val="21"/>
        </w:rPr>
      </w:pPr>
      <w:r>
        <w:rPr>
          <w:rFonts w:hint="eastAsia" w:ascii="宋体" w:hAnsi="宋体" w:cs="宋体"/>
          <w:sz w:val="21"/>
          <w:szCs w:val="21"/>
        </w:rPr>
        <w:t>4.总价金额与按单价汇总金额不一致的，以单价金额计算结果为准。</w:t>
      </w:r>
    </w:p>
    <w:p>
      <w:pPr>
        <w:spacing w:line="360" w:lineRule="auto"/>
        <w:ind w:firstLine="420" w:firstLineChars="200"/>
        <w:rPr>
          <w:rFonts w:ascii="宋体" w:hAnsi="宋体" w:cs="宋体"/>
          <w:sz w:val="21"/>
          <w:szCs w:val="21"/>
        </w:rPr>
      </w:pPr>
      <w:r>
        <w:rPr>
          <w:rFonts w:hint="eastAsia" w:ascii="宋体" w:hAnsi="宋体" w:cs="宋体"/>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（五）提交响应文件的份数和签署等</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1、响应文件一式二份，其中正本一份，副本一份；副本可为正本的复印件，应与正本一致，如出现不一致情况以正本为准。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2、在响应文件正本中，询价通知书第六篇响应文件格式中规定签字、盖章的地方必须按其规定签字、盖章。</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3.若供应商对响应文件的错处作必要修改，则应在修改处加盖供应商公章或由法定代表人或法定代表人授权代表签字确认。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4.电报、电话、传真形式的响应文件概不接受。</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（六）响应文件的递交</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1、响应文件的密封与标记</w:t>
      </w:r>
    </w:p>
    <w:p>
      <w:pPr>
        <w:spacing w:line="360" w:lineRule="auto"/>
        <w:ind w:firstLine="420" w:firstLineChars="200"/>
        <w:rPr>
          <w:rFonts w:ascii="宋体" w:hAnsi="宋体" w:cs="宋体"/>
          <w:sz w:val="21"/>
          <w:szCs w:val="21"/>
        </w:rPr>
      </w:pPr>
      <w:r>
        <w:rPr>
          <w:rFonts w:hint="eastAsia" w:ascii="宋体" w:hAnsi="宋体" w:cs="宋体"/>
          <w:sz w:val="21"/>
          <w:szCs w:val="21"/>
        </w:rPr>
        <w:t>响应文件的正本、副本、样品以及电子文档均应密封送达投标地点，应在封套上注明项目名称、投标人名称。若正本、副本以及电子文档分别进行密封的，还应在封套上注明“正本”、“副本”、“电子文档”字样。</w:t>
      </w:r>
    </w:p>
    <w:p>
      <w:pPr>
        <w:spacing w:line="360" w:lineRule="auto"/>
        <w:ind w:firstLine="420" w:firstLineChars="200"/>
        <w:rPr>
          <w:rFonts w:ascii="宋体" w:hAnsi="宋体" w:cs="宋体"/>
          <w:sz w:val="21"/>
          <w:szCs w:val="21"/>
        </w:rPr>
      </w:pPr>
      <w:r>
        <w:rPr>
          <w:rFonts w:hint="eastAsia" w:ascii="宋体" w:hAnsi="宋体" w:cs="宋体"/>
          <w:sz w:val="21"/>
          <w:szCs w:val="21"/>
        </w:rPr>
        <w:t>2、如果响应文件通过邮寄递交，供应商应将响应文件用内、外两层封套密封。</w:t>
      </w:r>
    </w:p>
    <w:p>
      <w:pPr>
        <w:spacing w:line="360" w:lineRule="auto"/>
        <w:ind w:firstLine="420" w:firstLineChars="200"/>
        <w:rPr>
          <w:rFonts w:ascii="宋体" w:hAnsi="宋体" w:cs="宋体"/>
          <w:sz w:val="21"/>
          <w:szCs w:val="21"/>
        </w:rPr>
      </w:pPr>
      <w:r>
        <w:rPr>
          <w:rFonts w:hint="eastAsia" w:ascii="宋体" w:hAnsi="宋体" w:cs="宋体"/>
          <w:sz w:val="21"/>
          <w:szCs w:val="21"/>
        </w:rPr>
        <w:t>3、如果未按上述规定进行密封的，采购人、采购代理机构将拒收其响应文件。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（七）响应文件语言：简体中文</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（八）供应商参与人员</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各个供应商可派1-2名代表参与询价，至少1人应为法定代表人或具有法定代表人授权委托书的授权代表。</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（九）无效响应</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供应商发生以下条款情况之一者，视为无效响应，其响应文件将被拒绝：</w:t>
      </w:r>
    </w:p>
    <w:p>
      <w:pPr>
        <w:snapToGrid w:val="0"/>
        <w:spacing w:line="360" w:lineRule="auto"/>
        <w:ind w:firstLine="420" w:firstLineChars="200"/>
        <w:rPr>
          <w:rFonts w:ascii="宋体" w:hAnsi="宋体" w:cs="宋体"/>
          <w:sz w:val="21"/>
          <w:szCs w:val="21"/>
        </w:rPr>
      </w:pPr>
      <w:bookmarkStart w:id="81" w:name="_Toc493506302"/>
      <w:bookmarkStart w:id="82" w:name="_Toc492721019"/>
      <w:r>
        <w:rPr>
          <w:rFonts w:hint="eastAsia" w:ascii="宋体" w:hAnsi="宋体" w:cs="宋体"/>
          <w:sz w:val="21"/>
          <w:szCs w:val="21"/>
        </w:rPr>
        <w:t>1、供应商不符合规定的资格条件或未通过符合性审查的；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2、供应商的法定代表人或其授权代表未参加询价；</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3、供应商未按照询价通知书的要求缴纳保证金；</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4、供应商所提交的响应文件不按规定签字、盖章；</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5、供应商的最后报价超过采购预算（若有采购预算单价，则含采购预算单价）的；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6、供应商响应文件内容有与国家现行法律法规相违背的内容，或附有采购人无法接受的条件。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7、单位负责人为同一人或者存在直接控股、管理关系的不同供应商，不得参加本项目同一合同项（分包）的采购活动；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8、为采购项目提供整体设计、规范编制或者项目管理、监理、检测等服务的供应商再参加本项目的采购活动的；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9、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10、询价通知书规定的其他无效响应情形。</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（十）</w:t>
      </w:r>
      <w:bookmarkEnd w:id="81"/>
      <w:bookmarkEnd w:id="82"/>
      <w:r>
        <w:rPr>
          <w:rFonts w:hint="eastAsia" w:ascii="宋体" w:hAnsi="宋体" w:cs="宋体"/>
          <w:sz w:val="21"/>
          <w:szCs w:val="21"/>
        </w:rPr>
        <w:t>终止采购活动</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出现下列情形之一的，采购人或者采购代理机构应当终止询价采购活动，发布项目终止公告并说明原因，重新开展采购活动：</w:t>
      </w:r>
      <w:r>
        <w:rPr>
          <w:rFonts w:hint="eastAsia" w:ascii="宋体" w:hAnsi="宋体" w:cs="宋体"/>
          <w:sz w:val="21"/>
          <w:szCs w:val="21"/>
        </w:rPr>
        <w:br w:type="textWrapping"/>
      </w:r>
      <w:r>
        <w:rPr>
          <w:rFonts w:hint="eastAsia" w:ascii="宋体" w:hAnsi="宋体" w:cs="宋体"/>
          <w:sz w:val="21"/>
          <w:szCs w:val="21"/>
        </w:rPr>
        <w:t xml:space="preserve">    1、因情况变化，不再符合规定的询价采购方式适用情形的；</w:t>
      </w:r>
      <w:r>
        <w:rPr>
          <w:rFonts w:hint="eastAsia" w:ascii="宋体" w:hAnsi="宋体" w:cs="宋体"/>
          <w:sz w:val="21"/>
          <w:szCs w:val="21"/>
        </w:rPr>
        <w:br w:type="textWrapping"/>
      </w:r>
      <w:r>
        <w:rPr>
          <w:rFonts w:hint="eastAsia" w:ascii="宋体" w:hAnsi="宋体" w:cs="宋体"/>
          <w:sz w:val="21"/>
          <w:szCs w:val="21"/>
        </w:rPr>
        <w:t xml:space="preserve">    2、出现影响采购公正的违法、违规行为的；</w:t>
      </w:r>
      <w:r>
        <w:rPr>
          <w:rFonts w:hint="eastAsia" w:ascii="宋体" w:hAnsi="宋体" w:cs="宋体"/>
          <w:sz w:val="21"/>
          <w:szCs w:val="21"/>
        </w:rPr>
        <w:br w:type="textWrapping"/>
      </w:r>
      <w:r>
        <w:rPr>
          <w:rFonts w:hint="eastAsia" w:ascii="宋体" w:hAnsi="宋体" w:cs="宋体"/>
          <w:sz w:val="21"/>
          <w:szCs w:val="21"/>
        </w:rPr>
        <w:t xml:space="preserve">    3、在采购过程中符合竞争要求的供应商或者报价未超过采购预算的供应商不足3家的。</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（十一）采购代理服务费</w:t>
      </w:r>
    </w:p>
    <w:p>
      <w:pPr>
        <w:spacing w:line="360" w:lineRule="auto"/>
        <w:ind w:firstLine="420" w:firstLineChars="200"/>
        <w:rPr>
          <w:rFonts w:hint="eastAsia" w:ascii="宋体" w:hAnsi="宋体" w:cs="宋体"/>
          <w:sz w:val="21"/>
          <w:szCs w:val="21"/>
        </w:rPr>
      </w:pPr>
      <w:bookmarkStart w:id="83" w:name="_Toc426965633"/>
      <w:bookmarkStart w:id="84" w:name="_Toc487204782"/>
      <w:bookmarkStart w:id="85" w:name="_Toc179714298"/>
      <w:bookmarkStart w:id="86" w:name="_Toc342913393"/>
      <w:bookmarkStart w:id="87" w:name="_Toc102227319"/>
      <w:bookmarkStart w:id="88" w:name="_Toc17351"/>
      <w:bookmarkStart w:id="89" w:name="_Toc521318174"/>
      <w:bookmarkStart w:id="90" w:name="_Toc32374"/>
      <w:r>
        <w:rPr>
          <w:rFonts w:hint="eastAsia" w:ascii="宋体" w:hAnsi="宋体" w:cs="宋体"/>
          <w:sz w:val="21"/>
          <w:szCs w:val="21"/>
        </w:rPr>
        <w:t>1、成交供应商在领取成交通知书前，向采购代理机构缴纳采购代理服务费，采购代理服务费收取标准按照以下标准执行，不足4000元按4000元收取。</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10" w:type="dxa"/>
            <w:tcBorders>
              <w:tl2br w:val="single" w:color="auto" w:sz="4" w:space="0"/>
            </w:tcBorders>
          </w:tcPr>
          <w:p>
            <w:pPr>
              <w:spacing w:line="360" w:lineRule="auto"/>
              <w:ind w:firstLine="420" w:firstLineChars="200"/>
              <w:rPr>
                <w:rFonts w:hint="eastAsia" w:ascii="宋体" w:hAnsi="宋体" w:cs="宋体"/>
                <w:sz w:val="21"/>
                <w:szCs w:val="21"/>
              </w:rPr>
            </w:pPr>
            <w:r>
              <w:rPr>
                <w:rFonts w:hint="eastAsia" w:ascii="宋体" w:hAnsi="宋体" w:cs="宋体"/>
                <w:sz w:val="21"/>
                <w:szCs w:val="21"/>
              </w:rPr>
              <mc:AlternateContent>
                <mc:Choice Requires="wps">
                  <w:drawing>
                    <wp:anchor distT="0" distB="0" distL="114300" distR="114300" simplePos="0" relativeHeight="251660288" behindDoc="0" locked="0" layoutInCell="0" allowOverlap="1">
                      <wp:simplePos x="0" y="0"/>
                      <wp:positionH relativeFrom="column">
                        <wp:posOffset>-113665</wp:posOffset>
                      </wp:positionH>
                      <wp:positionV relativeFrom="paragraph">
                        <wp:posOffset>-5715</wp:posOffset>
                      </wp:positionV>
                      <wp:extent cx="13970" cy="5715"/>
                      <wp:effectExtent l="0" t="0" r="0" b="0"/>
                      <wp:wrapNone/>
                      <wp:docPr id="1" name="Line 3"/>
                      <wp:cNvGraphicFramePr/>
                      <a:graphic xmlns:a="http://schemas.openxmlformats.org/drawingml/2006/main">
                        <a:graphicData uri="http://schemas.microsoft.com/office/word/2010/wordprocessingShape">
                          <wps:wsp>
                            <wps:cNvCnPr/>
                            <wps:spPr>
                              <a:xfrm>
                                <a:off x="0" y="0"/>
                                <a:ext cx="13970" cy="57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8.95pt;margin-top:-0.45pt;height:0.45pt;width:1.1pt;z-index:251660288;mso-width-relative:page;mso-height-relative:page;" filled="f" stroked="t" coordsize="21600,21600" o:allowincell="f"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5UvetQAAAAGAQAADwAAAAAAAAAB&#10;ACAAAAAiAAAAZHJzL2Rvd25yZXYueG1sUEsBAhQAFAAAAAgAh07iQDjt10DbAQAA2gMAAA4AAAAA&#10;AAAAAQAgAAAAIwEAAGRycy9lMm9Eb2MueG1sUEsFBgAAAAAGAAYAWQEAAHAFAAAAAA==&#10;">
                      <v:fill on="f" focussize="0,0"/>
                      <v:stroke color="#000000" joinstyle="round"/>
                      <v:imagedata o:title=""/>
                      <o:lock v:ext="edit" aspectratio="f"/>
                    </v:line>
                  </w:pict>
                </mc:Fallback>
              </mc:AlternateContent>
            </w:r>
            <w:r>
              <w:rPr>
                <w:rFonts w:hint="eastAsia" w:ascii="宋体" w:hAnsi="宋体" w:cs="宋体"/>
                <w:sz w:val="21"/>
                <w:szCs w:val="21"/>
              </w:rPr>
              <w:t>采购类型</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成交金额（万元）</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货物采购</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服务采购</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100以下</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100-500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1.1%</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0.8%</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500-1000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0.8%</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0.45%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1000-5000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0.25%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5000-10000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0.25%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0.1%</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10000-100000</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0.05%</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0.05%</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0"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1000000以上</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0.01%</w:t>
            </w:r>
          </w:p>
        </w:tc>
        <w:tc>
          <w:tcPr>
            <w:tcW w:w="2273"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0.01%</w:t>
            </w:r>
          </w:p>
        </w:tc>
        <w:tc>
          <w:tcPr>
            <w:tcW w:w="2272" w:type="dxa"/>
            <w:vAlign w:val="center"/>
          </w:tcPr>
          <w:p>
            <w:pPr>
              <w:spacing w:line="360" w:lineRule="auto"/>
              <w:ind w:firstLine="420" w:firstLineChars="200"/>
              <w:rPr>
                <w:rFonts w:hint="eastAsia" w:ascii="宋体" w:hAnsi="宋体" w:cs="宋体"/>
                <w:sz w:val="21"/>
                <w:szCs w:val="21"/>
              </w:rPr>
            </w:pPr>
            <w:r>
              <w:rPr>
                <w:rFonts w:hint="eastAsia" w:ascii="宋体" w:hAnsi="宋体" w:cs="宋体"/>
                <w:sz w:val="21"/>
                <w:szCs w:val="21"/>
              </w:rPr>
              <w:t>0.01%</w:t>
            </w:r>
          </w:p>
        </w:tc>
      </w:tr>
    </w:tbl>
    <w:p>
      <w:pPr>
        <w:spacing w:line="360" w:lineRule="auto"/>
        <w:ind w:firstLine="420" w:firstLineChars="200"/>
        <w:rPr>
          <w:rFonts w:hint="eastAsia" w:ascii="宋体" w:hAnsi="宋体" w:cs="宋体"/>
          <w:sz w:val="21"/>
          <w:szCs w:val="21"/>
        </w:rPr>
      </w:pPr>
      <w:r>
        <w:rPr>
          <w:rFonts w:hint="eastAsia" w:ascii="宋体" w:hAnsi="宋体" w:cs="宋体"/>
          <w:sz w:val="21"/>
          <w:szCs w:val="21"/>
        </w:rPr>
        <w:t>注：采购代理服务收费按差额定率累进法计算。例如：某货物采购代理业务成交金额为6000万元，计算采购代理服务收费额如下：</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100万元×1.5%=1.5万元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（500-100）万元×1.1%=4.4万元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（1000-500）×0.8%=4万元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（5000-1000）×0.5%=20万元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（6000-5000）×0.25%=2.5万元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合计收费=1.5+4.4+4+20+2.5=32.4（万元）</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1.服务费以现金、转账等形式支付。</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2.成交供应商如未按上述规定缴付采购代理服务费，其保证金将不予退还。</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2、采购代理服务费缴纳账号：</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户  名：重庆宏仁招标代理有限公司</w:t>
      </w:r>
    </w:p>
    <w:p>
      <w:pPr>
        <w:spacing w:line="360" w:lineRule="auto"/>
        <w:ind w:firstLine="420" w:firstLineChars="200"/>
        <w:rPr>
          <w:rFonts w:hint="eastAsia" w:ascii="宋体" w:hAnsi="宋体" w:cs="宋体"/>
          <w:sz w:val="21"/>
          <w:szCs w:val="21"/>
        </w:rPr>
      </w:pPr>
      <w:r>
        <w:rPr>
          <w:rFonts w:hint="eastAsia" w:ascii="宋体" w:hAnsi="宋体" w:cs="宋体"/>
          <w:sz w:val="21"/>
          <w:szCs w:val="21"/>
        </w:rPr>
        <w:t>开户行：招商银行重庆分行较场口支行</w:t>
      </w:r>
    </w:p>
    <w:p>
      <w:pPr>
        <w:spacing w:line="360" w:lineRule="auto"/>
        <w:ind w:firstLine="420" w:firstLineChars="200"/>
        <w:rPr>
          <w:rFonts w:ascii="宋体" w:hAnsi="宋体" w:cs="宋体"/>
          <w:sz w:val="21"/>
          <w:szCs w:val="21"/>
        </w:rPr>
      </w:pPr>
      <w:r>
        <w:rPr>
          <w:rFonts w:hint="eastAsia" w:ascii="宋体" w:hAnsi="宋体" w:cs="宋体"/>
          <w:sz w:val="21"/>
          <w:szCs w:val="21"/>
        </w:rPr>
        <w:t>账  号：</w:t>
      </w:r>
      <w:r>
        <w:rPr>
          <w:rFonts w:ascii="宋体" w:hAnsi="宋体" w:cs="宋体"/>
          <w:sz w:val="21"/>
          <w:szCs w:val="21"/>
        </w:rPr>
        <w:t>123907228910802</w:t>
      </w:r>
    </w:p>
    <w:p>
      <w:pPr>
        <w:pStyle w:val="6"/>
        <w:spacing w:before="0" w:after="0" w:line="360" w:lineRule="auto"/>
        <w:rPr>
          <w:rFonts w:ascii="宋体" w:hAnsi="宋体" w:cs="宋体"/>
          <w:sz w:val="21"/>
          <w:szCs w:val="21"/>
        </w:rPr>
      </w:pPr>
      <w:bookmarkStart w:id="91" w:name="_Toc4857"/>
      <w:r>
        <w:rPr>
          <w:rFonts w:hint="eastAsia" w:ascii="宋体" w:hAnsi="宋体" w:cs="宋体"/>
          <w:sz w:val="21"/>
          <w:szCs w:val="21"/>
        </w:rPr>
        <w:t>四、</w:t>
      </w:r>
      <w:bookmarkEnd w:id="83"/>
      <w:bookmarkEnd w:id="84"/>
      <w:bookmarkEnd w:id="85"/>
      <w:bookmarkEnd w:id="86"/>
      <w:bookmarkEnd w:id="87"/>
      <w:r>
        <w:rPr>
          <w:rFonts w:hint="eastAsia" w:ascii="宋体" w:hAnsi="宋体" w:cs="宋体"/>
          <w:sz w:val="21"/>
          <w:szCs w:val="21"/>
        </w:rPr>
        <w:t>询价程序及成交标准</w:t>
      </w:r>
      <w:bookmarkEnd w:id="88"/>
      <w:bookmarkEnd w:id="89"/>
      <w:bookmarkEnd w:id="90"/>
      <w:bookmarkEnd w:id="91"/>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（一）本项目询价按照询价通知书规定的时间和地点进行。供应商须有法定代表人或其授权代表参加并签到。</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二）询价小组由采购人代表和评审专家共3人以上单数组成，其中评审专家不得少于询价小组成员总数的2/3；询价小组确认询价通知书；询价小组从符合相应资格条件的供应商名单中确定不少于3家的供应商参加者询价。</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（三）资格性符合性检查</w:t>
      </w:r>
    </w:p>
    <w:p>
      <w:pPr>
        <w:snapToGrid w:val="0"/>
        <w:spacing w:line="360" w:lineRule="auto"/>
        <w:ind w:firstLine="422" w:firstLineChars="200"/>
        <w:rPr>
          <w:rFonts w:ascii="宋体" w:hAnsi="宋体" w:cs="宋体"/>
          <w:kern w:val="0"/>
          <w:sz w:val="21"/>
          <w:szCs w:val="21"/>
        </w:rPr>
      </w:pPr>
      <w:r>
        <w:rPr>
          <w:rFonts w:hint="eastAsia" w:ascii="宋体" w:hAnsi="宋体" w:cs="宋体"/>
          <w:b/>
          <w:bCs/>
          <w:kern w:val="0"/>
          <w:sz w:val="21"/>
          <w:szCs w:val="21"/>
        </w:rPr>
        <w:t>1.资格性检查。</w:t>
      </w:r>
      <w:r>
        <w:rPr>
          <w:rFonts w:hint="eastAsia" w:ascii="宋体" w:hAnsi="宋体" w:cs="宋体"/>
          <w:kern w:val="0"/>
          <w:sz w:val="21"/>
          <w:szCs w:val="21"/>
        </w:rPr>
        <w:t>依据法律法规和询价通知书的规定，对响应文件中的资格证明、保证金等进行审查，以确定供应商是否具备询价资格。资格性检查资料表如下：</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709" w:type="dxa"/>
            <w:vMerge w:val="restart"/>
            <w:vAlign w:val="center"/>
          </w:tcPr>
          <w:p>
            <w:pPr>
              <w:spacing w:line="360" w:lineRule="auto"/>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spacing w:line="360" w:lineRule="auto"/>
              <w:jc w:val="center"/>
              <w:rPr>
                <w:rFonts w:ascii="宋体" w:hAnsi="宋体" w:cs="宋体"/>
                <w:sz w:val="21"/>
                <w:szCs w:val="21"/>
              </w:rPr>
            </w:pPr>
            <w:r>
              <w:rPr>
                <w:rFonts w:hint="eastAsia" w:ascii="宋体" w:hAnsi="宋体" w:cs="宋体"/>
                <w:sz w:val="21"/>
                <w:szCs w:val="21"/>
              </w:rPr>
              <w:t>（1）具有独立承担民事责任的能力</w:t>
            </w:r>
          </w:p>
        </w:tc>
        <w:tc>
          <w:tcPr>
            <w:tcW w:w="3564" w:type="dxa"/>
            <w:vAlign w:val="center"/>
          </w:tcPr>
          <w:p>
            <w:pPr>
              <w:snapToGrid w:val="0"/>
              <w:spacing w:line="360" w:lineRule="auto"/>
              <w:rPr>
                <w:rFonts w:hint="eastAsia" w:ascii="宋体" w:hAnsi="宋体" w:cs="宋体"/>
                <w:kern w:val="0"/>
                <w:sz w:val="21"/>
                <w:szCs w:val="21"/>
              </w:rPr>
            </w:pPr>
            <w:r>
              <w:rPr>
                <w:rFonts w:hint="eastAsia" w:ascii="宋体" w:hAnsi="宋体" w:cs="宋体"/>
                <w:kern w:val="0"/>
                <w:sz w:val="21"/>
                <w:szCs w:val="21"/>
              </w:rPr>
              <w:t xml:space="preserve">1.供应商法人营业执照（副本）或事业单位法人证书（副本）或个体工商户营业执照或有效的自然人身份证明或社会团体法人登记证书（提供复印件）。 </w:t>
            </w:r>
          </w:p>
          <w:p>
            <w:pPr>
              <w:snapToGrid w:val="0"/>
              <w:spacing w:line="360" w:lineRule="auto"/>
              <w:rPr>
                <w:rFonts w:hint="eastAsia" w:ascii="宋体" w:hAnsi="宋体" w:cs="宋体"/>
                <w:kern w:val="0"/>
                <w:sz w:val="21"/>
                <w:szCs w:val="21"/>
              </w:rPr>
            </w:pPr>
            <w:r>
              <w:rPr>
                <w:rFonts w:hint="eastAsia" w:ascii="宋体" w:hAnsi="宋体" w:cs="宋体"/>
                <w:kern w:val="0"/>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vAlign w:val="center"/>
          </w:tcPr>
          <w:p>
            <w:pPr>
              <w:snapToGrid w:val="0"/>
              <w:spacing w:line="360" w:lineRule="auto"/>
              <w:rPr>
                <w:rFonts w:hint="eastAsia" w:ascii="宋体" w:hAnsi="宋体" w:cs="宋体"/>
                <w:kern w:val="0"/>
                <w:sz w:val="21"/>
                <w:szCs w:val="21"/>
              </w:rPr>
            </w:pPr>
            <w:r>
              <w:rPr>
                <w:rFonts w:hint="eastAsia" w:ascii="宋体" w:hAnsi="宋体" w:cs="宋体"/>
                <w:kern w:val="0"/>
                <w:sz w:val="21"/>
                <w:szCs w:val="21"/>
              </w:rPr>
              <w:t>1.提供上一年度财务状况报告（表）或其基本开户银行出具的资信证明（提供复印件）。</w:t>
            </w:r>
          </w:p>
          <w:p>
            <w:pPr>
              <w:snapToGrid w:val="0"/>
              <w:spacing w:line="360" w:lineRule="auto"/>
              <w:rPr>
                <w:rFonts w:hint="eastAsia" w:ascii="宋体" w:hAnsi="宋体" w:cs="宋体"/>
                <w:kern w:val="0"/>
                <w:sz w:val="21"/>
                <w:szCs w:val="21"/>
              </w:rPr>
            </w:pPr>
            <w:r>
              <w:rPr>
                <w:rFonts w:hint="eastAsia" w:ascii="宋体" w:hAnsi="宋体" w:cs="宋体"/>
                <w:kern w:val="0"/>
                <w:sz w:val="21"/>
                <w:szCs w:val="21"/>
              </w:rPr>
              <w:t>2.本年度新成立或成立不满一年的组织和自然人无法提供财务状况报告（表）的，可提供银行出具的资信证明（提供复印件）。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vAlign w:val="center"/>
          </w:tcPr>
          <w:p>
            <w:pPr>
              <w:spacing w:line="360" w:lineRule="auto"/>
              <w:rPr>
                <w:rFonts w:hint="eastAsia" w:ascii="宋体" w:hAnsi="宋体" w:cs="宋体"/>
                <w:sz w:val="21"/>
                <w:szCs w:val="21"/>
              </w:rPr>
            </w:pPr>
            <w:r>
              <w:rPr>
                <w:rFonts w:hint="eastAsia" w:ascii="宋体" w:hAnsi="宋体" w:cs="宋体"/>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vAlign w:val="center"/>
          </w:tcPr>
          <w:p>
            <w:pPr>
              <w:spacing w:line="360" w:lineRule="auto"/>
              <w:rPr>
                <w:rFonts w:hint="eastAsia" w:ascii="宋体" w:hAnsi="宋体" w:cs="宋体"/>
                <w:sz w:val="21"/>
                <w:szCs w:val="21"/>
              </w:rPr>
            </w:pPr>
            <w:r>
              <w:rPr>
                <w:rFonts w:hint="eastAsia" w:ascii="宋体" w:hAnsi="宋体" w:cs="宋体"/>
                <w:sz w:val="21"/>
                <w:szCs w:val="21"/>
              </w:rPr>
              <w:t>1.税务登记证（副本）（提供复印件）（注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w:t>
            </w:r>
          </w:p>
          <w:p>
            <w:pPr>
              <w:spacing w:line="360" w:lineRule="auto"/>
              <w:rPr>
                <w:rFonts w:hint="eastAsia" w:ascii="宋体" w:hAnsi="宋体" w:cs="宋体"/>
                <w:sz w:val="21"/>
                <w:szCs w:val="21"/>
              </w:rPr>
            </w:pPr>
            <w:r>
              <w:rPr>
                <w:rFonts w:hint="eastAsia" w:ascii="宋体" w:hAnsi="宋体" w:cs="宋体"/>
                <w:sz w:val="21"/>
                <w:szCs w:val="21"/>
              </w:rPr>
              <w:t>2.缴纳社会保障金的证明材料（提供复印件）（缴纳社会保障金的证明材料指：社会保险登记证（注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）或缴纳社会保险的凭据（专用收据或社会保险缴纳清单）。</w:t>
            </w:r>
          </w:p>
          <w:p>
            <w:pPr>
              <w:spacing w:line="360" w:lineRule="auto"/>
              <w:rPr>
                <w:rFonts w:hint="eastAsia" w:ascii="宋体" w:hAnsi="宋体" w:cs="宋体"/>
                <w:sz w:val="21"/>
                <w:szCs w:val="21"/>
              </w:rPr>
            </w:pPr>
            <w:r>
              <w:rPr>
                <w:rFonts w:hint="eastAsia" w:ascii="宋体" w:hAnsi="宋体" w:cs="宋体"/>
                <w:sz w:val="21"/>
                <w:szCs w:val="21"/>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360" w:lineRule="auto"/>
              <w:jc w:val="center"/>
              <w:rPr>
                <w:rFonts w:ascii="宋体" w:hAnsi="宋体" w:cs="宋体"/>
                <w:sz w:val="21"/>
                <w:szCs w:val="21"/>
              </w:rPr>
            </w:pPr>
          </w:p>
        </w:tc>
        <w:tc>
          <w:tcPr>
            <w:tcW w:w="709" w:type="dxa"/>
            <w:vMerge w:val="continue"/>
            <w:vAlign w:val="center"/>
          </w:tcPr>
          <w:p>
            <w:pPr>
              <w:spacing w:line="360" w:lineRule="auto"/>
              <w:rPr>
                <w:rFonts w:ascii="宋体" w:hAnsi="宋体" w:cs="宋体"/>
                <w:sz w:val="21"/>
                <w:szCs w:val="21"/>
                <w:lang w:val="zh-CN"/>
              </w:rPr>
            </w:pPr>
          </w:p>
        </w:tc>
        <w:tc>
          <w:tcPr>
            <w:tcW w:w="4679" w:type="dxa"/>
            <w:vAlign w:val="center"/>
          </w:tcPr>
          <w:p>
            <w:pPr>
              <w:spacing w:line="360" w:lineRule="auto"/>
              <w:rPr>
                <w:rFonts w:ascii="宋体" w:hAnsi="宋体" w:cs="宋体"/>
                <w:sz w:val="21"/>
                <w:szCs w:val="21"/>
                <w:lang w:val="zh-CN"/>
              </w:rPr>
            </w:pPr>
            <w:r>
              <w:rPr>
                <w:rFonts w:hint="eastAsia" w:ascii="宋体" w:hAnsi="宋体" w:cs="宋体"/>
                <w:sz w:val="21"/>
                <w:szCs w:val="21"/>
              </w:rPr>
              <w:t>（5）参加政府采购活动前三年内，在经营活动中没有重大违法记录（注②）</w:t>
            </w:r>
          </w:p>
        </w:tc>
        <w:tc>
          <w:tcPr>
            <w:tcW w:w="3564" w:type="dxa"/>
            <w:vAlign w:val="center"/>
          </w:tcPr>
          <w:p>
            <w:pPr>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keepNext/>
              <w:keepLines/>
              <w:spacing w:before="260" w:after="260" w:line="360" w:lineRule="auto"/>
              <w:jc w:val="center"/>
              <w:outlineLvl w:val="2"/>
              <w:rPr>
                <w:rFonts w:ascii="宋体" w:hAnsi="宋体" w:cs="宋体"/>
                <w:sz w:val="21"/>
                <w:szCs w:val="21"/>
              </w:rPr>
            </w:pPr>
          </w:p>
        </w:tc>
        <w:tc>
          <w:tcPr>
            <w:tcW w:w="709" w:type="dxa"/>
            <w:vMerge w:val="continue"/>
            <w:vAlign w:val="center"/>
          </w:tcPr>
          <w:p>
            <w:pPr>
              <w:keepNext/>
              <w:keepLines/>
              <w:spacing w:before="260" w:after="260" w:line="360" w:lineRule="auto"/>
              <w:outlineLvl w:val="2"/>
              <w:rPr>
                <w:rFonts w:ascii="宋体" w:hAnsi="宋体" w:cs="宋体"/>
                <w:sz w:val="21"/>
                <w:szCs w:val="21"/>
                <w:lang w:val="zh-CN"/>
              </w:rPr>
            </w:pPr>
          </w:p>
        </w:tc>
        <w:tc>
          <w:tcPr>
            <w:tcW w:w="4679" w:type="dxa"/>
            <w:vAlign w:val="center"/>
          </w:tcPr>
          <w:p>
            <w:pPr>
              <w:spacing w:line="360" w:lineRule="auto"/>
              <w:rPr>
                <w:rFonts w:ascii="宋体" w:hAnsi="宋体" w:cs="宋体"/>
                <w:sz w:val="21"/>
                <w:szCs w:val="21"/>
              </w:rPr>
            </w:pPr>
            <w:r>
              <w:rPr>
                <w:rFonts w:hint="eastAsia" w:ascii="宋体" w:hAnsi="宋体" w:cs="宋体"/>
                <w:sz w:val="21"/>
                <w:szCs w:val="21"/>
              </w:rPr>
              <w:t>（6）法律、行政法规规定的其他条件</w:t>
            </w:r>
          </w:p>
        </w:tc>
        <w:tc>
          <w:tcPr>
            <w:tcW w:w="3564" w:type="dxa"/>
            <w:vAlign w:val="center"/>
          </w:tcPr>
          <w:p>
            <w:pPr>
              <w:keepNext/>
              <w:keepLines/>
              <w:spacing w:before="260" w:after="260" w:line="360" w:lineRule="auto"/>
              <w:outlineLvl w:val="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676" w:type="dxa"/>
            <w:vAlign w:val="center"/>
          </w:tcPr>
          <w:p>
            <w:pPr>
              <w:spacing w:line="360" w:lineRule="auto"/>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spacing w:line="360" w:lineRule="auto"/>
              <w:rPr>
                <w:rFonts w:ascii="宋体" w:hAnsi="宋体" w:cs="宋体"/>
                <w:sz w:val="21"/>
                <w:szCs w:val="21"/>
              </w:rPr>
            </w:pPr>
            <w:r>
              <w:rPr>
                <w:rFonts w:hint="eastAsia" w:ascii="宋体" w:hAnsi="宋体" w:cs="宋体"/>
                <w:sz w:val="21"/>
                <w:szCs w:val="21"/>
              </w:rPr>
              <w:t>特定资格条件</w:t>
            </w:r>
          </w:p>
        </w:tc>
        <w:tc>
          <w:tcPr>
            <w:tcW w:w="3564" w:type="dxa"/>
            <w:vAlign w:val="center"/>
          </w:tcPr>
          <w:p>
            <w:pPr>
              <w:spacing w:line="360" w:lineRule="auto"/>
              <w:rPr>
                <w:rFonts w:ascii="宋体" w:hAnsi="宋体" w:cs="宋体"/>
                <w:sz w:val="21"/>
                <w:szCs w:val="21"/>
              </w:rPr>
            </w:pPr>
            <w:r>
              <w:rPr>
                <w:rFonts w:hint="eastAsia" w:ascii="宋体" w:hAnsi="宋体" w:cs="宋体"/>
                <w:sz w:val="21"/>
                <w:szCs w:val="21"/>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360" w:lineRule="auto"/>
              <w:jc w:val="center"/>
              <w:rPr>
                <w:rFonts w:ascii="宋体" w:hAnsi="宋体" w:cs="宋体"/>
                <w:sz w:val="21"/>
                <w:szCs w:val="21"/>
              </w:rPr>
            </w:pPr>
            <w:r>
              <w:rPr>
                <w:rFonts w:hint="eastAsia" w:ascii="宋体" w:hAnsi="宋体" w:cs="宋体"/>
                <w:sz w:val="21"/>
                <w:szCs w:val="21"/>
              </w:rPr>
              <w:t>3</w:t>
            </w:r>
          </w:p>
        </w:tc>
        <w:tc>
          <w:tcPr>
            <w:tcW w:w="5388" w:type="dxa"/>
            <w:gridSpan w:val="2"/>
            <w:vAlign w:val="center"/>
          </w:tcPr>
          <w:p>
            <w:pPr>
              <w:spacing w:line="360" w:lineRule="auto"/>
              <w:rPr>
                <w:rFonts w:ascii="宋体" w:hAnsi="宋体" w:cs="宋体"/>
                <w:sz w:val="21"/>
                <w:szCs w:val="21"/>
              </w:rPr>
            </w:pPr>
            <w:r>
              <w:rPr>
                <w:rFonts w:hint="eastAsia" w:ascii="宋体" w:hAnsi="宋体" w:cs="宋体"/>
                <w:sz w:val="21"/>
                <w:szCs w:val="21"/>
              </w:rPr>
              <w:t>保证金</w:t>
            </w:r>
          </w:p>
        </w:tc>
        <w:tc>
          <w:tcPr>
            <w:tcW w:w="3564" w:type="dxa"/>
            <w:vAlign w:val="center"/>
          </w:tcPr>
          <w:p>
            <w:pPr>
              <w:spacing w:line="360" w:lineRule="auto"/>
              <w:rPr>
                <w:rFonts w:ascii="宋体" w:hAnsi="宋体" w:cs="宋体"/>
                <w:sz w:val="21"/>
                <w:szCs w:val="21"/>
              </w:rPr>
            </w:pPr>
            <w:r>
              <w:rPr>
                <w:rFonts w:hint="eastAsia" w:ascii="宋体" w:hAnsi="宋体" w:cs="宋体"/>
                <w:sz w:val="21"/>
                <w:szCs w:val="21"/>
              </w:rPr>
              <w:t>保证金到账截止时间前足额缴纳保证金，且满足询价通知书第一篇五、竞标保证金中的相关规定。</w:t>
            </w:r>
          </w:p>
        </w:tc>
      </w:tr>
    </w:tbl>
    <w:p>
      <w:pPr>
        <w:snapToGrid w:val="0"/>
        <w:spacing w:line="360" w:lineRule="auto"/>
        <w:rPr>
          <w:rFonts w:ascii="宋体" w:hAnsi="宋体" w:cs="宋体"/>
          <w:kern w:val="0"/>
          <w:sz w:val="21"/>
          <w:szCs w:val="21"/>
        </w:rPr>
      </w:pPr>
    </w:p>
    <w:p>
      <w:pPr>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注：</w:t>
      </w:r>
    </w:p>
    <w:p>
      <w:pPr>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fldChar w:fldCharType="begin"/>
      </w:r>
      <w:r>
        <w:rPr>
          <w:rFonts w:hint="eastAsia" w:ascii="宋体" w:hAnsi="宋体" w:cs="宋体"/>
          <w:kern w:val="0"/>
          <w:sz w:val="21"/>
          <w:szCs w:val="21"/>
        </w:rPr>
        <w:instrText xml:space="preserve"> = 1 \* GB3 </w:instrText>
      </w:r>
      <w:r>
        <w:rPr>
          <w:rFonts w:hint="eastAsia" w:ascii="宋体" w:hAnsi="宋体" w:cs="宋体"/>
          <w:kern w:val="0"/>
          <w:sz w:val="21"/>
          <w:szCs w:val="21"/>
        </w:rPr>
        <w:fldChar w:fldCharType="separate"/>
      </w:r>
      <w:r>
        <w:rPr>
          <w:rFonts w:hint="eastAsia" w:ascii="宋体" w:hAnsi="宋体" w:cs="宋体"/>
          <w:kern w:val="0"/>
          <w:sz w:val="21"/>
          <w:szCs w:val="21"/>
        </w:rPr>
        <w:t>①</w:t>
      </w:r>
      <w:r>
        <w:rPr>
          <w:rFonts w:hint="eastAsia" w:ascii="宋体" w:hAnsi="宋体" w:cs="宋体"/>
          <w:kern w:val="0"/>
          <w:sz w:val="21"/>
          <w:szCs w:val="21"/>
        </w:rPr>
        <w:fldChar w:fldCharType="end"/>
      </w:r>
      <w:r>
        <w:rPr>
          <w:rFonts w:hint="eastAsia" w:ascii="宋体" w:hAnsi="宋体" w:cs="宋体"/>
          <w:kern w:val="0"/>
          <w:sz w:val="21"/>
          <w:szCs w:val="21"/>
        </w:rPr>
        <w:t>供应商按“三证合一”登记制度办理营业执照的，组织机构代码证和税务登记证（副本）以供应商所提供的营业执照（副本）复印件为准。</w:t>
      </w:r>
    </w:p>
    <w:p>
      <w:pPr>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fldChar w:fldCharType="begin"/>
      </w:r>
      <w:r>
        <w:rPr>
          <w:rFonts w:hint="eastAsia" w:ascii="宋体" w:hAnsi="宋体" w:cs="宋体"/>
          <w:kern w:val="0"/>
          <w:sz w:val="21"/>
          <w:szCs w:val="21"/>
        </w:rPr>
        <w:instrText xml:space="preserve"> = 2 \* GB3 </w:instrText>
      </w:r>
      <w:r>
        <w:rPr>
          <w:rFonts w:hint="eastAsia" w:ascii="宋体" w:hAnsi="宋体" w:cs="宋体"/>
          <w:kern w:val="0"/>
          <w:sz w:val="21"/>
          <w:szCs w:val="21"/>
        </w:rPr>
        <w:fldChar w:fldCharType="separate"/>
      </w:r>
      <w:r>
        <w:rPr>
          <w:rFonts w:hint="eastAsia" w:ascii="宋体" w:hAnsi="宋体" w:cs="宋体"/>
          <w:kern w:val="0"/>
          <w:sz w:val="21"/>
          <w:szCs w:val="21"/>
        </w:rPr>
        <w:t>②</w:t>
      </w:r>
      <w:r>
        <w:rPr>
          <w:rFonts w:hint="eastAsia" w:ascii="宋体" w:hAnsi="宋体" w:cs="宋体"/>
          <w:kern w:val="0"/>
          <w:sz w:val="21"/>
          <w:szCs w:val="21"/>
        </w:rPr>
        <w:fldChar w:fldCharType="end"/>
      </w:r>
      <w:r>
        <w:rPr>
          <w:rFonts w:hint="eastAsia" w:ascii="宋体" w:hAnsi="宋体" w:cs="宋体"/>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60" w:lineRule="auto"/>
        <w:ind w:firstLine="422" w:firstLineChars="200"/>
        <w:rPr>
          <w:rFonts w:ascii="宋体" w:hAnsi="宋体" w:cs="宋体"/>
          <w:kern w:val="0"/>
          <w:sz w:val="21"/>
          <w:szCs w:val="21"/>
        </w:rPr>
      </w:pPr>
      <w:r>
        <w:rPr>
          <w:rFonts w:hint="eastAsia" w:ascii="宋体" w:hAnsi="宋体" w:cs="宋体"/>
          <w:b/>
          <w:bCs/>
          <w:kern w:val="0"/>
          <w:sz w:val="21"/>
          <w:szCs w:val="21"/>
        </w:rPr>
        <w:t>2.符合性检查。</w:t>
      </w:r>
      <w:r>
        <w:rPr>
          <w:rFonts w:hint="eastAsia" w:ascii="宋体" w:hAnsi="宋体" w:cs="宋体"/>
          <w:kern w:val="0"/>
          <w:sz w:val="21"/>
          <w:szCs w:val="21"/>
        </w:rPr>
        <w:t>依据询价通知书的规定，从响应文件的有效性、完整性和对询价通知书的响应程度进行审查，以确定是否对询价通知书的实质性要求作出响应。符合性检查资料表如下：</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r>
              <w:rPr>
                <w:rFonts w:hint="eastAsia" w:ascii="宋体" w:hAnsi="宋体" w:cs="宋体"/>
                <w:sz w:val="21"/>
                <w:szCs w:val="21"/>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rPr>
            </w:pPr>
            <w:r>
              <w:rPr>
                <w:rFonts w:hint="eastAsia" w:ascii="宋体" w:hAnsi="宋体" w:cs="宋体"/>
                <w:sz w:val="21"/>
                <w:szCs w:val="21"/>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lang w:val="zh-CN"/>
              </w:rPr>
            </w:pPr>
            <w:r>
              <w:rPr>
                <w:rFonts w:hint="eastAsia" w:ascii="宋体" w:hAnsi="宋体" w:cs="宋体"/>
                <w:sz w:val="21"/>
                <w:szCs w:val="21"/>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2</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文件正、副本、电子文档数量符合</w:t>
            </w:r>
            <w:r>
              <w:rPr>
                <w:rFonts w:hint="eastAsia" w:ascii="宋体" w:hAnsi="宋体" w:cs="宋体"/>
                <w:sz w:val="21"/>
                <w:szCs w:val="21"/>
              </w:rPr>
              <w:t>询价通知书</w:t>
            </w:r>
            <w:r>
              <w:rPr>
                <w:rFonts w:hint="eastAsia" w:ascii="宋体" w:hAnsi="宋体" w:cs="宋体"/>
                <w:sz w:val="21"/>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1"/>
                <w:szCs w:val="21"/>
                <w:lang w:val="zh-CN"/>
              </w:rPr>
            </w:pPr>
            <w:r>
              <w:rPr>
                <w:rFonts w:hint="eastAsia" w:ascii="宋体" w:hAnsi="宋体" w:cs="宋体"/>
                <w:kern w:val="0"/>
                <w:sz w:val="21"/>
                <w:szCs w:val="21"/>
              </w:rPr>
              <w:t>询价通知书的响应程度审查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宋体" w:hAnsi="宋体" w:cs="宋体"/>
                <w:kern w:val="0"/>
                <w:sz w:val="21"/>
                <w:szCs w:val="21"/>
              </w:rPr>
            </w:pPr>
            <w:r>
              <w:rPr>
                <w:rFonts w:hint="eastAsia" w:ascii="宋体" w:hAnsi="宋体" w:cs="宋体"/>
                <w:kern w:val="0"/>
                <w:sz w:val="21"/>
                <w:szCs w:val="21"/>
              </w:rPr>
              <w:t>对询价通知书第三篇、第四篇规定的询价内容作出响应。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询价有效期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1"/>
                <w:szCs w:val="21"/>
              </w:rPr>
            </w:pPr>
            <w:r>
              <w:rPr>
                <w:rFonts w:hint="eastAsia" w:ascii="宋体" w:hAnsi="宋体" w:cs="宋体"/>
                <w:kern w:val="0"/>
                <w:sz w:val="21"/>
                <w:szCs w:val="21"/>
              </w:rPr>
              <w:t>满足询价通知书</w:t>
            </w:r>
            <w:r>
              <w:rPr>
                <w:rFonts w:hint="eastAsia" w:ascii="宋体" w:hAnsi="宋体" w:cs="宋体"/>
                <w:sz w:val="21"/>
                <w:szCs w:val="21"/>
                <w:lang w:val="zh-CN"/>
              </w:rPr>
              <w:t>规定。</w:t>
            </w:r>
          </w:p>
        </w:tc>
      </w:tr>
    </w:tbl>
    <w:p>
      <w:pPr>
        <w:spacing w:line="360" w:lineRule="auto"/>
        <w:ind w:firstLine="315" w:firstLineChars="150"/>
        <w:rPr>
          <w:rFonts w:ascii="宋体" w:hAnsi="宋体" w:cs="宋体"/>
          <w:sz w:val="21"/>
          <w:szCs w:val="21"/>
        </w:rPr>
      </w:pPr>
      <w:r>
        <w:rPr>
          <w:rFonts w:hint="eastAsia" w:ascii="宋体" w:hAnsi="宋体" w:cs="宋体"/>
          <w:sz w:val="21"/>
          <w:szCs w:val="21"/>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315" w:firstLineChars="150"/>
        <w:rPr>
          <w:rFonts w:ascii="宋体" w:hAnsi="宋体" w:cs="宋体"/>
          <w:sz w:val="21"/>
          <w:szCs w:val="21"/>
        </w:rPr>
      </w:pPr>
      <w:r>
        <w:rPr>
          <w:rFonts w:hint="eastAsia" w:ascii="宋体" w:hAnsi="宋体" w:cs="宋体"/>
          <w:sz w:val="21"/>
          <w:szCs w:val="21"/>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315" w:firstLineChars="150"/>
        <w:rPr>
          <w:rFonts w:ascii="宋体" w:hAnsi="宋体" w:cs="宋体"/>
          <w:sz w:val="21"/>
          <w:szCs w:val="21"/>
        </w:rPr>
      </w:pPr>
      <w:r>
        <w:rPr>
          <w:rFonts w:hint="eastAsia" w:ascii="宋体" w:hAnsi="宋体" w:cs="宋体"/>
          <w:sz w:val="21"/>
          <w:szCs w:val="21"/>
        </w:rPr>
        <w:t>（3）在询价过程中询价的任何一方不得向他人透露与询价有关的技术资料、价格或其他信息。</w:t>
      </w:r>
    </w:p>
    <w:p>
      <w:pPr>
        <w:pStyle w:val="6"/>
        <w:spacing w:before="0" w:after="0" w:line="360" w:lineRule="auto"/>
        <w:rPr>
          <w:rFonts w:ascii="宋体" w:hAnsi="宋体" w:cs="宋体"/>
          <w:bCs/>
          <w:sz w:val="21"/>
          <w:szCs w:val="21"/>
        </w:rPr>
      </w:pPr>
      <w:bookmarkStart w:id="92" w:name="_Toc13992"/>
      <w:r>
        <w:rPr>
          <w:rFonts w:hint="eastAsia" w:ascii="宋体" w:hAnsi="宋体" w:cs="宋体"/>
          <w:bCs/>
          <w:sz w:val="21"/>
          <w:szCs w:val="21"/>
        </w:rPr>
        <w:t>五、对技术和商务部分的评审</w:t>
      </w:r>
      <w:bookmarkEnd w:id="92"/>
    </w:p>
    <w:p>
      <w:pPr>
        <w:snapToGrid w:val="0"/>
        <w:spacing w:line="360" w:lineRule="auto"/>
        <w:ind w:firstLine="420" w:firstLineChars="200"/>
        <w:rPr>
          <w:rFonts w:ascii="宋体" w:hAnsi="宋体" w:cs="宋体"/>
          <w:bCs/>
          <w:sz w:val="21"/>
          <w:szCs w:val="21"/>
        </w:rPr>
      </w:pPr>
      <w:r>
        <w:rPr>
          <w:rFonts w:hint="eastAsia" w:ascii="宋体" w:hAnsi="宋体" w:cs="宋体"/>
          <w:bCs/>
          <w:sz w:val="21"/>
          <w:szCs w:val="21"/>
        </w:rPr>
        <w:t>1、“第三篇 询价项目技术需求”有一条及以上不能满足询价通知书要求的供应商为无效响应；</w:t>
      </w:r>
    </w:p>
    <w:p>
      <w:pPr>
        <w:snapToGrid w:val="0"/>
        <w:spacing w:line="360" w:lineRule="auto"/>
        <w:ind w:firstLine="420" w:firstLineChars="200"/>
        <w:rPr>
          <w:rFonts w:ascii="宋体" w:hAnsi="宋体" w:cs="宋体"/>
          <w:bCs/>
          <w:sz w:val="21"/>
          <w:szCs w:val="21"/>
        </w:rPr>
      </w:pPr>
      <w:r>
        <w:rPr>
          <w:rFonts w:hint="eastAsia" w:ascii="宋体" w:hAnsi="宋体" w:cs="宋体"/>
          <w:bCs/>
          <w:sz w:val="21"/>
          <w:szCs w:val="21"/>
        </w:rPr>
        <w:t>2、“第四篇 询价项目商务需求”有一条及以上不能满足询价通知书要求的供应商为无效响应。</w:t>
      </w:r>
    </w:p>
    <w:p>
      <w:pPr>
        <w:pStyle w:val="6"/>
        <w:spacing w:before="0" w:after="0" w:line="360" w:lineRule="auto"/>
        <w:rPr>
          <w:rFonts w:hint="eastAsia" w:ascii="宋体" w:hAnsi="宋体" w:cs="宋体"/>
          <w:bCs/>
          <w:sz w:val="21"/>
          <w:szCs w:val="21"/>
        </w:rPr>
      </w:pPr>
      <w:bookmarkStart w:id="93" w:name="_Toc102227320"/>
      <w:bookmarkStart w:id="94" w:name="_Toc487204784"/>
      <w:bookmarkStart w:id="95" w:name="_Toc521318175"/>
      <w:bookmarkStart w:id="96" w:name="_Toc342913394"/>
      <w:bookmarkStart w:id="97" w:name="_Toc22357"/>
      <w:bookmarkStart w:id="98" w:name="_Toc17851"/>
      <w:bookmarkStart w:id="99" w:name="_Toc19939"/>
      <w:bookmarkStart w:id="100" w:name="_Toc192"/>
      <w:bookmarkStart w:id="101" w:name="_Toc426965635"/>
      <w:bookmarkStart w:id="102" w:name="_Toc20321"/>
      <w:r>
        <w:rPr>
          <w:rFonts w:hint="eastAsia" w:ascii="宋体" w:hAnsi="宋体" w:cs="宋体"/>
          <w:bCs/>
          <w:sz w:val="21"/>
          <w:szCs w:val="21"/>
          <w:lang w:val="en-US" w:eastAsia="zh-CN"/>
        </w:rPr>
        <w:t>六</w:t>
      </w:r>
      <w:r>
        <w:rPr>
          <w:rFonts w:hint="eastAsia" w:ascii="宋体" w:hAnsi="宋体" w:cs="宋体"/>
          <w:bCs/>
          <w:sz w:val="21"/>
          <w:szCs w:val="21"/>
        </w:rPr>
        <w:t>、成交</w:t>
      </w:r>
      <w:bookmarkEnd w:id="93"/>
      <w:r>
        <w:rPr>
          <w:rFonts w:hint="eastAsia" w:ascii="宋体" w:hAnsi="宋体" w:cs="宋体"/>
          <w:bCs/>
          <w:sz w:val="21"/>
          <w:szCs w:val="21"/>
        </w:rPr>
        <w:t>标准</w:t>
      </w:r>
      <w:bookmarkEnd w:id="94"/>
      <w:bookmarkEnd w:id="95"/>
      <w:bookmarkEnd w:id="96"/>
      <w:bookmarkEnd w:id="97"/>
      <w:bookmarkEnd w:id="98"/>
      <w:bookmarkEnd w:id="99"/>
      <w:bookmarkEnd w:id="100"/>
      <w:bookmarkEnd w:id="101"/>
      <w:bookmarkEnd w:id="102"/>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1、询价小组将依照本询价通知书相关规定对质量和服务均能满足询价实质性响应要求的供应商所提交的报价进行政策扣减，按照由低到高的顺序提出3名以上成交候选人，并编写评审报告。</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2、若供应商的报价相同，按服务条款的优劣顺序排列。</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3、成交价格=成交供应商的报价</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4、询价小组认为供应商</w:t>
      </w:r>
      <w:r>
        <w:rPr>
          <w:rFonts w:hint="eastAsia" w:ascii="宋体" w:hAnsi="宋体" w:cs="宋体"/>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采购人也可以授权询价小组直接确定成交供应商。</w:t>
      </w:r>
    </w:p>
    <w:p>
      <w:pPr>
        <w:snapToGrid w:val="0"/>
        <w:spacing w:line="360" w:lineRule="auto"/>
        <w:ind w:firstLine="350" w:firstLineChars="167"/>
        <w:rPr>
          <w:rFonts w:ascii="宋体" w:hAnsi="宋体" w:cs="宋体"/>
          <w:sz w:val="21"/>
          <w:szCs w:val="21"/>
        </w:rPr>
      </w:pPr>
      <w:r>
        <w:rPr>
          <w:rFonts w:hint="eastAsia" w:ascii="宋体" w:hAnsi="宋体" w:cs="宋体"/>
          <w:sz w:val="21"/>
          <w:szCs w:val="21"/>
        </w:rPr>
        <w:t>6、成交供应商的变更</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315" w:firstLineChars="150"/>
        <w:rPr>
          <w:rFonts w:ascii="宋体" w:hAnsi="宋体" w:cs="宋体"/>
          <w:sz w:val="21"/>
          <w:szCs w:val="21"/>
        </w:rPr>
      </w:pPr>
      <w:r>
        <w:rPr>
          <w:rFonts w:hint="eastAsia" w:ascii="宋体" w:hAnsi="宋体" w:cs="宋体"/>
          <w:sz w:val="21"/>
          <w:szCs w:val="21"/>
        </w:rPr>
        <w:t>6.2成交供应商无充分理由放弃成交的，采购人将会同采购代理机构把相关情况报财政部门，财政部门将根据《政府采购非招标采购方式管理办法》的相关规定对违规供应商进行处罚。</w:t>
      </w:r>
    </w:p>
    <w:p>
      <w:pPr>
        <w:pStyle w:val="6"/>
        <w:spacing w:before="0" w:after="0" w:line="360" w:lineRule="auto"/>
        <w:rPr>
          <w:rFonts w:ascii="宋体" w:hAnsi="宋体" w:cs="宋体"/>
          <w:sz w:val="21"/>
          <w:szCs w:val="21"/>
        </w:rPr>
      </w:pPr>
      <w:bookmarkStart w:id="103" w:name="_Toc2878"/>
      <w:bookmarkStart w:id="104" w:name="_Toc4178"/>
      <w:bookmarkStart w:id="105" w:name="_Toc8806"/>
      <w:bookmarkStart w:id="106" w:name="_Toc521318176"/>
      <w:r>
        <w:rPr>
          <w:rFonts w:hint="eastAsia" w:ascii="宋体" w:hAnsi="宋体" w:cs="宋体"/>
          <w:sz w:val="21"/>
          <w:szCs w:val="21"/>
          <w:lang w:val="en-US" w:eastAsia="zh-CN"/>
        </w:rPr>
        <w:t>七</w:t>
      </w:r>
      <w:r>
        <w:rPr>
          <w:rFonts w:hint="eastAsia" w:ascii="宋体" w:hAnsi="宋体" w:cs="宋体"/>
          <w:sz w:val="21"/>
          <w:szCs w:val="21"/>
        </w:rPr>
        <w:t>、评审依据</w:t>
      </w:r>
      <w:bookmarkEnd w:id="103"/>
      <w:bookmarkEnd w:id="104"/>
      <w:bookmarkEnd w:id="105"/>
      <w:bookmarkEnd w:id="106"/>
    </w:p>
    <w:p>
      <w:pPr>
        <w:spacing w:line="360" w:lineRule="auto"/>
        <w:ind w:firstLine="420" w:firstLineChars="200"/>
        <w:rPr>
          <w:rFonts w:ascii="宋体" w:hAnsi="宋体" w:cs="宋体"/>
          <w:sz w:val="21"/>
          <w:szCs w:val="21"/>
        </w:rPr>
      </w:pPr>
      <w:r>
        <w:rPr>
          <w:rFonts w:hint="eastAsia" w:ascii="宋体" w:hAnsi="宋体" w:cs="宋体"/>
          <w:sz w:val="21"/>
          <w:szCs w:val="21"/>
        </w:rPr>
        <w:t>评审的依据为询价通知书和响应文件（含有效的补充文件）。询价小组判断响应文件对询价通知书的响应，仅基于响应文件本身而不靠外部证据。</w:t>
      </w:r>
    </w:p>
    <w:p>
      <w:pPr>
        <w:pStyle w:val="6"/>
        <w:spacing w:before="0" w:after="0" w:line="360" w:lineRule="auto"/>
        <w:rPr>
          <w:rFonts w:ascii="宋体" w:hAnsi="宋体" w:cs="宋体"/>
          <w:sz w:val="21"/>
          <w:szCs w:val="21"/>
        </w:rPr>
      </w:pPr>
      <w:bookmarkStart w:id="107" w:name="_Toc521318177"/>
      <w:bookmarkStart w:id="108" w:name="_Toc30323"/>
      <w:bookmarkStart w:id="109" w:name="_Toc13238"/>
      <w:bookmarkStart w:id="110" w:name="_Toc342913395"/>
      <w:bookmarkStart w:id="111" w:name="_Toc102227321"/>
      <w:bookmarkStart w:id="112" w:name="_Toc6593"/>
      <w:bookmarkStart w:id="113" w:name="_Toc426965636"/>
      <w:bookmarkStart w:id="114" w:name="_Toc487204785"/>
      <w:r>
        <w:rPr>
          <w:rFonts w:hint="eastAsia" w:ascii="宋体" w:hAnsi="宋体" w:cs="宋体"/>
          <w:sz w:val="21"/>
          <w:szCs w:val="21"/>
          <w:lang w:val="en-US" w:eastAsia="zh-CN"/>
        </w:rPr>
        <w:t>八</w:t>
      </w:r>
      <w:r>
        <w:rPr>
          <w:rFonts w:hint="eastAsia" w:ascii="宋体" w:hAnsi="宋体" w:cs="宋体"/>
          <w:sz w:val="21"/>
          <w:szCs w:val="21"/>
        </w:rPr>
        <w:t>、成交通知</w:t>
      </w:r>
      <w:bookmarkEnd w:id="107"/>
      <w:bookmarkEnd w:id="108"/>
      <w:bookmarkEnd w:id="109"/>
      <w:bookmarkEnd w:id="110"/>
      <w:bookmarkEnd w:id="111"/>
      <w:bookmarkEnd w:id="112"/>
      <w:bookmarkEnd w:id="113"/>
      <w:bookmarkEnd w:id="114"/>
    </w:p>
    <w:p>
      <w:pPr>
        <w:spacing w:line="360" w:lineRule="auto"/>
        <w:ind w:firstLine="315" w:firstLineChars="150"/>
        <w:rPr>
          <w:rFonts w:ascii="宋体" w:hAnsi="宋体" w:cs="宋体"/>
          <w:bCs/>
          <w:sz w:val="21"/>
          <w:szCs w:val="21"/>
        </w:rPr>
      </w:pPr>
      <w:r>
        <w:rPr>
          <w:rFonts w:hint="eastAsia" w:ascii="宋体" w:hAnsi="宋体" w:cs="宋体"/>
          <w:bCs/>
          <w:sz w:val="21"/>
          <w:szCs w:val="21"/>
        </w:rPr>
        <w:t>（一）成交供应商确定后，采购人将公开发布成交结果公示。</w:t>
      </w:r>
    </w:p>
    <w:p>
      <w:pPr>
        <w:spacing w:line="360" w:lineRule="auto"/>
        <w:ind w:firstLine="315" w:firstLineChars="150"/>
        <w:rPr>
          <w:rFonts w:ascii="宋体" w:hAnsi="宋体" w:cs="宋体"/>
          <w:sz w:val="21"/>
          <w:szCs w:val="21"/>
        </w:rPr>
      </w:pPr>
      <w:r>
        <w:rPr>
          <w:rFonts w:hint="eastAsia" w:ascii="宋体" w:hAnsi="宋体" w:cs="宋体"/>
          <w:bCs/>
          <w:sz w:val="21"/>
          <w:szCs w:val="21"/>
        </w:rPr>
        <w:t>（二）结果公告发出同时，采购代理机构将以书面形式发出《成交</w:t>
      </w:r>
      <w:r>
        <w:rPr>
          <w:rFonts w:hint="eastAsia" w:ascii="宋体" w:hAnsi="宋体" w:cs="宋体"/>
          <w:sz w:val="21"/>
          <w:szCs w:val="21"/>
        </w:rPr>
        <w:t>通知书》。《成交通知书》一经发出即发生法律效力。</w:t>
      </w:r>
    </w:p>
    <w:p>
      <w:pPr>
        <w:spacing w:line="360" w:lineRule="auto"/>
        <w:ind w:firstLine="315" w:firstLineChars="150"/>
        <w:rPr>
          <w:rFonts w:ascii="宋体" w:hAnsi="宋体" w:cs="宋体"/>
          <w:sz w:val="21"/>
          <w:szCs w:val="21"/>
        </w:rPr>
      </w:pPr>
      <w:r>
        <w:rPr>
          <w:rFonts w:hint="eastAsia" w:ascii="宋体" w:hAnsi="宋体" w:cs="宋体"/>
          <w:sz w:val="21"/>
          <w:szCs w:val="21"/>
        </w:rPr>
        <w:t>（三）《成交通知书》将作为签订合同的依据。</w:t>
      </w:r>
    </w:p>
    <w:p>
      <w:pPr>
        <w:pStyle w:val="6"/>
        <w:spacing w:before="0" w:after="0" w:line="360" w:lineRule="auto"/>
        <w:rPr>
          <w:rFonts w:ascii="宋体" w:hAnsi="宋体" w:cs="宋体"/>
          <w:sz w:val="21"/>
          <w:szCs w:val="21"/>
        </w:rPr>
      </w:pPr>
      <w:bookmarkStart w:id="115" w:name="_Toc487204786"/>
      <w:bookmarkStart w:id="116" w:name="_Toc18243"/>
      <w:bookmarkStart w:id="117" w:name="_Toc426965637"/>
      <w:bookmarkStart w:id="118" w:name="_Toc521318178"/>
      <w:bookmarkStart w:id="119" w:name="_Toc11874"/>
      <w:bookmarkStart w:id="120" w:name="_Toc4076"/>
      <w:r>
        <w:rPr>
          <w:rFonts w:hint="eastAsia" w:ascii="宋体" w:hAnsi="宋体" w:cs="宋体"/>
          <w:sz w:val="21"/>
          <w:szCs w:val="21"/>
          <w:lang w:val="en-US" w:eastAsia="zh-CN"/>
        </w:rPr>
        <w:t>九</w:t>
      </w:r>
      <w:r>
        <w:rPr>
          <w:rFonts w:hint="eastAsia" w:ascii="宋体" w:hAnsi="宋体" w:cs="宋体"/>
          <w:sz w:val="21"/>
          <w:szCs w:val="21"/>
        </w:rPr>
        <w:t>、关于质疑和投诉</w:t>
      </w:r>
      <w:bookmarkEnd w:id="115"/>
      <w:bookmarkEnd w:id="116"/>
      <w:bookmarkEnd w:id="117"/>
      <w:bookmarkEnd w:id="118"/>
      <w:bookmarkEnd w:id="119"/>
      <w:bookmarkEnd w:id="120"/>
    </w:p>
    <w:p>
      <w:pPr>
        <w:spacing w:line="360" w:lineRule="auto"/>
        <w:ind w:right="12" w:firstLine="480"/>
        <w:rPr>
          <w:rFonts w:ascii="宋体" w:hAnsi="宋体" w:cs="宋体"/>
          <w:bCs/>
          <w:sz w:val="21"/>
          <w:szCs w:val="21"/>
        </w:rPr>
      </w:pPr>
      <w:r>
        <w:rPr>
          <w:rFonts w:hint="eastAsia" w:ascii="宋体" w:hAnsi="宋体" w:cs="宋体"/>
          <w:bCs/>
          <w:sz w:val="21"/>
          <w:szCs w:val="21"/>
        </w:rPr>
        <w:t>1.质疑提出</w:t>
      </w:r>
    </w:p>
    <w:p>
      <w:pPr>
        <w:spacing w:line="360" w:lineRule="auto"/>
        <w:ind w:right="12" w:firstLine="480"/>
        <w:rPr>
          <w:rFonts w:ascii="宋体" w:hAnsi="宋体" w:cs="宋体"/>
          <w:sz w:val="21"/>
          <w:szCs w:val="21"/>
        </w:rPr>
      </w:pPr>
      <w:r>
        <w:rPr>
          <w:rFonts w:hint="eastAsia" w:ascii="宋体" w:hAnsi="宋体" w:cs="宋体"/>
          <w:sz w:val="21"/>
          <w:szCs w:val="21"/>
          <w:u w:val="single"/>
        </w:rPr>
        <w:t>提出质疑的供应商应当是参与所质疑项目采购活动的供应商。</w:t>
      </w:r>
      <w:r>
        <w:rPr>
          <w:rFonts w:hint="eastAsia" w:ascii="宋体" w:hAnsi="宋体" w:cs="宋体"/>
          <w:sz w:val="21"/>
          <w:szCs w:val="21"/>
        </w:rPr>
        <w:t>潜在</w:t>
      </w:r>
      <w:r>
        <w:rPr>
          <w:rFonts w:hint="eastAsia" w:ascii="宋体" w:hAnsi="宋体" w:cs="宋体"/>
          <w:sz w:val="21"/>
          <w:szCs w:val="21"/>
          <w:u w:val="single"/>
        </w:rPr>
        <w:t>供应商</w:t>
      </w:r>
      <w:r>
        <w:rPr>
          <w:rFonts w:hint="eastAsia" w:ascii="宋体" w:hAnsi="宋体" w:cs="宋体"/>
          <w:sz w:val="21"/>
          <w:szCs w:val="21"/>
        </w:rPr>
        <w:t>提出质疑前，应依法获取其可质疑的询价文件。</w:t>
      </w:r>
    </w:p>
    <w:p>
      <w:pPr>
        <w:spacing w:line="360" w:lineRule="auto"/>
        <w:ind w:right="12" w:firstLine="480"/>
        <w:rPr>
          <w:rFonts w:ascii="宋体" w:hAnsi="宋体" w:cs="宋体"/>
          <w:bCs/>
          <w:sz w:val="21"/>
          <w:szCs w:val="21"/>
        </w:rPr>
      </w:pPr>
      <w:r>
        <w:rPr>
          <w:rFonts w:hint="eastAsia" w:ascii="宋体" w:hAnsi="宋体" w:cs="宋体"/>
          <w:bCs/>
          <w:sz w:val="21"/>
          <w:szCs w:val="21"/>
        </w:rPr>
        <w:t>2.质疑时限、内容</w:t>
      </w:r>
    </w:p>
    <w:p>
      <w:pPr>
        <w:spacing w:line="360" w:lineRule="auto"/>
        <w:ind w:right="12" w:firstLine="480"/>
        <w:rPr>
          <w:rFonts w:ascii="宋体" w:hAnsi="宋体" w:cs="宋体"/>
          <w:bCs/>
          <w:sz w:val="21"/>
          <w:szCs w:val="21"/>
        </w:rPr>
      </w:pPr>
      <w:r>
        <w:rPr>
          <w:rFonts w:hint="eastAsia" w:ascii="宋体" w:hAnsi="宋体" w:cs="宋体"/>
          <w:bCs/>
          <w:sz w:val="21"/>
          <w:szCs w:val="21"/>
        </w:rPr>
        <w:t>2.1</w:t>
      </w:r>
      <w:r>
        <w:rPr>
          <w:rFonts w:hint="eastAsia" w:ascii="宋体" w:hAnsi="宋体" w:cs="宋体"/>
          <w:bCs/>
          <w:sz w:val="21"/>
          <w:szCs w:val="21"/>
          <w:u w:val="single"/>
        </w:rPr>
        <w:t>供应商</w:t>
      </w:r>
      <w:r>
        <w:rPr>
          <w:rFonts w:hint="eastAsia" w:ascii="宋体" w:hAnsi="宋体" w:cs="宋体"/>
          <w:bCs/>
          <w:sz w:val="21"/>
          <w:szCs w:val="21"/>
        </w:rPr>
        <w:t>认为询价文件、采购过程和成交结果使自己的权益受到伤害的，可向采购人或采购代理机构以书面形式提出质疑。</w:t>
      </w:r>
    </w:p>
    <w:p>
      <w:pPr>
        <w:spacing w:line="360" w:lineRule="auto"/>
        <w:ind w:right="12" w:firstLine="480"/>
        <w:rPr>
          <w:rFonts w:ascii="宋体" w:hAnsi="宋体" w:cs="宋体"/>
          <w:bCs/>
          <w:sz w:val="21"/>
          <w:szCs w:val="21"/>
        </w:rPr>
      </w:pPr>
      <w:r>
        <w:rPr>
          <w:rFonts w:hint="eastAsia" w:ascii="宋体" w:hAnsi="宋体" w:cs="宋体"/>
          <w:bCs/>
          <w:sz w:val="21"/>
          <w:szCs w:val="21"/>
        </w:rPr>
        <w:t>2.2</w:t>
      </w:r>
      <w:r>
        <w:rPr>
          <w:rFonts w:hint="eastAsia" w:ascii="宋体" w:hAnsi="宋体" w:cs="宋体"/>
          <w:bCs/>
          <w:sz w:val="21"/>
          <w:szCs w:val="21"/>
          <w:u w:val="single"/>
        </w:rPr>
        <w:t>供应商</w:t>
      </w:r>
      <w:r>
        <w:rPr>
          <w:rFonts w:hint="eastAsia" w:ascii="宋体" w:hAnsi="宋体" w:cs="宋体"/>
          <w:bCs/>
          <w:sz w:val="21"/>
          <w:szCs w:val="21"/>
        </w:rPr>
        <w:t>对询价文件提出质疑的，应在依法获取询价文件或者询价文件公告期限届满之日起三个工作日内，</w:t>
      </w:r>
      <w:r>
        <w:rPr>
          <w:rFonts w:hint="eastAsia" w:ascii="宋体" w:hAnsi="宋体" w:cs="宋体"/>
          <w:bCs/>
          <w:sz w:val="21"/>
          <w:szCs w:val="21"/>
          <w:u w:val="single"/>
        </w:rPr>
        <w:t>一次性提出针对询价文件的所有质疑。</w:t>
      </w:r>
    </w:p>
    <w:p>
      <w:pPr>
        <w:spacing w:line="360" w:lineRule="auto"/>
        <w:ind w:right="12" w:firstLine="480"/>
        <w:rPr>
          <w:rFonts w:ascii="宋体" w:hAnsi="宋体" w:cs="宋体"/>
          <w:bCs/>
          <w:sz w:val="21"/>
          <w:szCs w:val="21"/>
          <w:u w:val="single"/>
        </w:rPr>
      </w:pPr>
      <w:r>
        <w:rPr>
          <w:rFonts w:hint="eastAsia" w:ascii="宋体" w:hAnsi="宋体" w:cs="宋体"/>
          <w:bCs/>
          <w:sz w:val="21"/>
          <w:szCs w:val="21"/>
        </w:rPr>
        <w:t>2.3 供应商对采购过程提出质疑的，应在各采购程序环节结束之日起七个工作日内，</w:t>
      </w:r>
      <w:r>
        <w:rPr>
          <w:rFonts w:hint="eastAsia" w:ascii="宋体" w:hAnsi="宋体" w:cs="宋体"/>
          <w:bCs/>
          <w:sz w:val="21"/>
          <w:szCs w:val="21"/>
          <w:u w:val="single"/>
        </w:rPr>
        <w:t>一次性提出针对同一采购程序环节的所有质疑。</w:t>
      </w:r>
    </w:p>
    <w:p>
      <w:pPr>
        <w:spacing w:line="360" w:lineRule="auto"/>
        <w:ind w:right="12" w:firstLine="480"/>
        <w:rPr>
          <w:rFonts w:ascii="宋体" w:hAnsi="宋体" w:cs="宋体"/>
          <w:bCs/>
          <w:sz w:val="21"/>
          <w:szCs w:val="21"/>
          <w:u w:val="single"/>
        </w:rPr>
      </w:pPr>
      <w:r>
        <w:rPr>
          <w:rFonts w:hint="eastAsia" w:ascii="宋体" w:hAnsi="宋体" w:cs="宋体"/>
          <w:bCs/>
          <w:sz w:val="21"/>
          <w:szCs w:val="21"/>
        </w:rPr>
        <w:t>2.4供应商对成交结果提出质疑的，应当在成交结果公告期限届满之日起七个工作日内，</w:t>
      </w:r>
      <w:r>
        <w:rPr>
          <w:rFonts w:hint="eastAsia" w:ascii="宋体" w:hAnsi="宋体" w:cs="宋体"/>
          <w:bCs/>
          <w:sz w:val="21"/>
          <w:szCs w:val="21"/>
          <w:u w:val="single"/>
        </w:rPr>
        <w:t>一次性提出针对成交结果的所有质疑。</w:t>
      </w:r>
    </w:p>
    <w:p>
      <w:pPr>
        <w:spacing w:line="360" w:lineRule="auto"/>
        <w:ind w:right="12" w:firstLine="480"/>
        <w:rPr>
          <w:rFonts w:ascii="宋体" w:hAnsi="宋体" w:cs="宋体"/>
          <w:bCs/>
          <w:sz w:val="21"/>
          <w:szCs w:val="21"/>
          <w:u w:val="single"/>
        </w:rPr>
      </w:pPr>
      <w:r>
        <w:rPr>
          <w:rFonts w:hint="eastAsia" w:ascii="宋体" w:hAnsi="宋体" w:cs="宋体"/>
          <w:bCs/>
          <w:sz w:val="21"/>
          <w:szCs w:val="21"/>
          <w:u w:val="single"/>
        </w:rPr>
        <w:t>2.5供应商提出质疑应当提交质疑函和必要的证明材料，质疑函应当包括下列内容：</w:t>
      </w:r>
    </w:p>
    <w:p>
      <w:pPr>
        <w:spacing w:line="360" w:lineRule="auto"/>
        <w:ind w:right="12" w:firstLine="480"/>
        <w:rPr>
          <w:rFonts w:ascii="宋体" w:hAnsi="宋体" w:cs="宋体"/>
          <w:bCs/>
          <w:sz w:val="21"/>
          <w:szCs w:val="21"/>
        </w:rPr>
      </w:pPr>
      <w:r>
        <w:rPr>
          <w:rFonts w:hint="eastAsia" w:ascii="宋体" w:hAnsi="宋体" w:cs="宋体"/>
          <w:bCs/>
          <w:sz w:val="21"/>
          <w:szCs w:val="21"/>
        </w:rPr>
        <w:t>2.5.1供应商的姓名或者名称、地址、邮编、联系人、联系电话及邮箱；</w:t>
      </w:r>
    </w:p>
    <w:p>
      <w:pPr>
        <w:spacing w:line="360" w:lineRule="auto"/>
        <w:ind w:right="12" w:firstLine="480"/>
        <w:rPr>
          <w:rFonts w:ascii="宋体" w:hAnsi="宋体" w:cs="宋体"/>
          <w:bCs/>
          <w:sz w:val="21"/>
          <w:szCs w:val="21"/>
        </w:rPr>
      </w:pPr>
      <w:r>
        <w:rPr>
          <w:rFonts w:hint="eastAsia" w:ascii="宋体" w:hAnsi="宋体" w:cs="宋体"/>
          <w:bCs/>
          <w:sz w:val="21"/>
          <w:szCs w:val="21"/>
        </w:rPr>
        <w:t>2.5.2质疑项目的名称、项目号以及招标项目编号；</w:t>
      </w:r>
    </w:p>
    <w:p>
      <w:pPr>
        <w:spacing w:line="360" w:lineRule="auto"/>
        <w:ind w:right="12" w:firstLine="480"/>
        <w:rPr>
          <w:rFonts w:ascii="宋体" w:hAnsi="宋体" w:cs="宋体"/>
          <w:bCs/>
          <w:sz w:val="21"/>
          <w:szCs w:val="21"/>
        </w:rPr>
      </w:pPr>
      <w:r>
        <w:rPr>
          <w:rFonts w:hint="eastAsia" w:ascii="宋体" w:hAnsi="宋体" w:cs="宋体"/>
          <w:bCs/>
          <w:sz w:val="21"/>
          <w:szCs w:val="21"/>
        </w:rPr>
        <w:t>2.5.3具体、明确的质疑事项和与质疑事项相关的请求；</w:t>
      </w:r>
    </w:p>
    <w:p>
      <w:pPr>
        <w:spacing w:line="360" w:lineRule="auto"/>
        <w:ind w:right="12" w:firstLine="480"/>
        <w:rPr>
          <w:rFonts w:ascii="宋体" w:hAnsi="宋体" w:cs="宋体"/>
          <w:bCs/>
          <w:sz w:val="21"/>
          <w:szCs w:val="21"/>
        </w:rPr>
      </w:pPr>
      <w:r>
        <w:rPr>
          <w:rFonts w:hint="eastAsia" w:ascii="宋体" w:hAnsi="宋体" w:cs="宋体"/>
          <w:bCs/>
          <w:sz w:val="21"/>
          <w:szCs w:val="21"/>
        </w:rPr>
        <w:t>2.5.4事实依据；</w:t>
      </w:r>
    </w:p>
    <w:p>
      <w:pPr>
        <w:spacing w:line="360" w:lineRule="auto"/>
        <w:ind w:right="12" w:firstLine="480"/>
        <w:rPr>
          <w:rFonts w:ascii="宋体" w:hAnsi="宋体" w:cs="宋体"/>
          <w:bCs/>
          <w:sz w:val="21"/>
          <w:szCs w:val="21"/>
        </w:rPr>
      </w:pPr>
      <w:r>
        <w:rPr>
          <w:rFonts w:hint="eastAsia" w:ascii="宋体" w:hAnsi="宋体" w:cs="宋体"/>
          <w:bCs/>
          <w:sz w:val="21"/>
          <w:szCs w:val="21"/>
        </w:rPr>
        <w:t>2.5.5必要的法律依据和证明材料；</w:t>
      </w:r>
    </w:p>
    <w:p>
      <w:pPr>
        <w:spacing w:line="360" w:lineRule="auto"/>
        <w:ind w:right="12" w:firstLine="480"/>
        <w:rPr>
          <w:rFonts w:ascii="宋体" w:hAnsi="宋体" w:cs="宋体"/>
          <w:bCs/>
          <w:sz w:val="21"/>
          <w:szCs w:val="21"/>
        </w:rPr>
      </w:pPr>
      <w:r>
        <w:rPr>
          <w:rFonts w:hint="eastAsia" w:ascii="宋体" w:hAnsi="宋体" w:cs="宋体"/>
          <w:bCs/>
          <w:sz w:val="21"/>
          <w:szCs w:val="21"/>
        </w:rPr>
        <w:t>2.5.6提出质疑的日期；</w:t>
      </w:r>
    </w:p>
    <w:p>
      <w:pPr>
        <w:spacing w:line="360" w:lineRule="auto"/>
        <w:ind w:right="12" w:firstLine="480"/>
        <w:rPr>
          <w:rFonts w:ascii="宋体" w:hAnsi="宋体" w:cs="宋体"/>
          <w:bCs/>
          <w:sz w:val="21"/>
          <w:szCs w:val="21"/>
        </w:rPr>
      </w:pPr>
      <w:r>
        <w:rPr>
          <w:rFonts w:hint="eastAsia" w:ascii="宋体" w:hAnsi="宋体" w:cs="宋体"/>
          <w:bCs/>
          <w:sz w:val="21"/>
          <w:szCs w:val="21"/>
        </w:rPr>
        <w:t>2.5.7营业执照（或事业单位法人证书，或有效的自然人身份证明、组织机构代码证）复印件加盖投标人公章；</w:t>
      </w:r>
    </w:p>
    <w:p>
      <w:pPr>
        <w:spacing w:line="360" w:lineRule="auto"/>
        <w:ind w:right="12" w:firstLine="480"/>
        <w:rPr>
          <w:rFonts w:ascii="宋体" w:hAnsi="宋体" w:cs="宋体"/>
          <w:bCs/>
          <w:sz w:val="21"/>
          <w:szCs w:val="21"/>
        </w:rPr>
      </w:pPr>
      <w:r>
        <w:rPr>
          <w:rFonts w:hint="eastAsia" w:ascii="宋体" w:hAnsi="宋体" w:cs="宋体"/>
          <w:bCs/>
          <w:sz w:val="21"/>
          <w:szCs w:val="21"/>
        </w:rPr>
        <w:t>2.5.8法定代表人授权委托书原件、法定代表人身份证复印件和其授权代表的身份证复印件（供应商为自然人的提供自然人身份证复印件），加盖投标人公章；</w:t>
      </w:r>
    </w:p>
    <w:p>
      <w:pPr>
        <w:spacing w:line="360" w:lineRule="auto"/>
        <w:ind w:right="12" w:firstLine="480"/>
        <w:rPr>
          <w:rFonts w:ascii="宋体" w:hAnsi="宋体" w:cs="宋体"/>
          <w:bCs/>
          <w:sz w:val="21"/>
          <w:szCs w:val="21"/>
        </w:rPr>
      </w:pPr>
      <w:r>
        <w:rPr>
          <w:rFonts w:hint="eastAsia" w:ascii="宋体" w:hAnsi="宋体" w:cs="宋体"/>
          <w:bCs/>
          <w:sz w:val="21"/>
          <w:szCs w:val="21"/>
        </w:rPr>
        <w:t>2.6供应商为自然人的，质疑函应当由本人签字；供应商为法人或者其他组织的，质疑函应当由法定代表人、主要负责人，或者其授权代表签字或者盖章，并加盖投标人公章。</w:t>
      </w:r>
    </w:p>
    <w:p>
      <w:pPr>
        <w:spacing w:line="360" w:lineRule="auto"/>
        <w:ind w:right="12" w:firstLine="480"/>
        <w:rPr>
          <w:rFonts w:ascii="宋体" w:hAnsi="宋体" w:cs="宋体"/>
          <w:sz w:val="21"/>
          <w:szCs w:val="21"/>
        </w:rPr>
      </w:pPr>
      <w:r>
        <w:rPr>
          <w:rFonts w:hint="eastAsia" w:ascii="宋体" w:hAnsi="宋体" w:cs="宋体"/>
          <w:sz w:val="21"/>
          <w:szCs w:val="21"/>
        </w:rPr>
        <w:t>3.质疑函格式</w:t>
      </w:r>
    </w:p>
    <w:p>
      <w:pPr>
        <w:spacing w:line="360" w:lineRule="auto"/>
        <w:ind w:right="12" w:firstLine="480"/>
        <w:rPr>
          <w:rFonts w:ascii="宋体" w:hAnsi="宋体" w:cs="宋体"/>
          <w:sz w:val="21"/>
          <w:szCs w:val="21"/>
          <w:u w:val="single"/>
        </w:rPr>
      </w:pPr>
      <w:r>
        <w:rPr>
          <w:rFonts w:hint="eastAsia" w:ascii="宋体" w:hAnsi="宋体" w:cs="宋体"/>
          <w:sz w:val="21"/>
          <w:szCs w:val="21"/>
          <w:u w:val="single"/>
        </w:rPr>
        <w:t xml:space="preserve">     </w:t>
      </w:r>
    </w:p>
    <w:p>
      <w:pPr>
        <w:spacing w:line="360" w:lineRule="auto"/>
        <w:ind w:right="12" w:firstLine="480"/>
        <w:rPr>
          <w:rFonts w:ascii="宋体" w:hAnsi="宋体" w:cs="宋体"/>
          <w:sz w:val="21"/>
          <w:szCs w:val="21"/>
        </w:rPr>
      </w:pPr>
      <w:r>
        <w:rPr>
          <w:rFonts w:hint="eastAsia" w:ascii="宋体" w:hAnsi="宋体" w:cs="宋体"/>
          <w:sz w:val="21"/>
          <w:szCs w:val="21"/>
        </w:rPr>
        <w:t>4.质疑函接收方式</w:t>
      </w:r>
    </w:p>
    <w:p>
      <w:pPr>
        <w:spacing w:line="360" w:lineRule="auto"/>
        <w:ind w:right="12" w:firstLine="420" w:firstLineChars="200"/>
        <w:rPr>
          <w:rFonts w:ascii="宋体" w:hAnsi="宋体" w:cs="宋体"/>
          <w:sz w:val="21"/>
          <w:szCs w:val="21"/>
        </w:rPr>
      </w:pPr>
      <w:r>
        <w:rPr>
          <w:rFonts w:hint="eastAsia" w:ascii="宋体" w:hAnsi="宋体" w:cs="宋体"/>
          <w:sz w:val="21"/>
          <w:szCs w:val="21"/>
        </w:rPr>
        <w:t>质疑人应将质疑函（原件）送达或邮递至采购代理机构，不符合要求的质疑函不接收。接收质疑的联系电话、联系方式等见第一篇。</w:t>
      </w:r>
    </w:p>
    <w:p>
      <w:pPr>
        <w:spacing w:line="360" w:lineRule="auto"/>
        <w:ind w:right="12" w:firstLine="480"/>
        <w:rPr>
          <w:rFonts w:ascii="宋体" w:hAnsi="宋体" w:cs="宋体"/>
          <w:bCs/>
          <w:sz w:val="21"/>
          <w:szCs w:val="21"/>
        </w:rPr>
      </w:pPr>
      <w:r>
        <w:rPr>
          <w:rFonts w:hint="eastAsia" w:ascii="宋体" w:hAnsi="宋体" w:cs="宋体"/>
          <w:bCs/>
          <w:sz w:val="21"/>
          <w:szCs w:val="21"/>
        </w:rPr>
        <w:t>5.质疑答复</w:t>
      </w:r>
    </w:p>
    <w:p>
      <w:pPr>
        <w:spacing w:line="360" w:lineRule="auto"/>
        <w:ind w:right="12" w:firstLine="480"/>
        <w:rPr>
          <w:rFonts w:ascii="宋体" w:hAnsi="宋体" w:cs="宋体"/>
          <w:bCs/>
          <w:sz w:val="21"/>
          <w:szCs w:val="21"/>
        </w:rPr>
      </w:pPr>
      <w:r>
        <w:rPr>
          <w:rFonts w:hint="eastAsia" w:ascii="宋体" w:hAnsi="宋体" w:cs="宋体"/>
          <w:bCs/>
          <w:sz w:val="21"/>
          <w:szCs w:val="21"/>
        </w:rPr>
        <w:t>采购人或采购代理机构应当在收到投标人的书面质疑函后七个工作日内作出答复，并以书面形式通知质疑投标人和其他有关投标人。</w:t>
      </w:r>
    </w:p>
    <w:p>
      <w:pPr>
        <w:spacing w:line="360" w:lineRule="auto"/>
        <w:ind w:right="12" w:firstLine="480"/>
        <w:rPr>
          <w:rFonts w:ascii="宋体" w:hAnsi="宋体" w:cs="宋体"/>
          <w:sz w:val="21"/>
          <w:szCs w:val="21"/>
        </w:rPr>
      </w:pPr>
      <w:r>
        <w:rPr>
          <w:rFonts w:hint="eastAsia" w:ascii="宋体" w:hAnsi="宋体" w:cs="宋体"/>
          <w:sz w:val="21"/>
          <w:szCs w:val="21"/>
        </w:rPr>
        <w:t>6.投诉</w:t>
      </w:r>
    </w:p>
    <w:p>
      <w:pPr>
        <w:spacing w:line="360" w:lineRule="auto"/>
        <w:ind w:right="12" w:firstLine="480"/>
        <w:rPr>
          <w:rFonts w:ascii="宋体" w:hAnsi="宋体" w:cs="宋体"/>
          <w:sz w:val="21"/>
          <w:szCs w:val="21"/>
        </w:rPr>
      </w:pPr>
      <w:r>
        <w:rPr>
          <w:rFonts w:hint="eastAsia" w:ascii="宋体" w:hAnsi="宋体" w:cs="宋体"/>
          <w:sz w:val="21"/>
          <w:szCs w:val="21"/>
        </w:rPr>
        <w:t>投标人对采购人、采购代理机构的答复不满意，或者采购人、采购代理机构未在规定时间内答复的，可在答复期满后十五个工作日内按有关规定，向同级财政部门投诉。</w:t>
      </w:r>
    </w:p>
    <w:p>
      <w:pPr>
        <w:spacing w:line="360" w:lineRule="auto"/>
        <w:ind w:right="12" w:firstLine="480"/>
        <w:rPr>
          <w:rFonts w:ascii="宋体" w:hAnsi="宋体" w:cs="宋体"/>
          <w:sz w:val="21"/>
          <w:szCs w:val="21"/>
        </w:rPr>
      </w:pPr>
      <w:r>
        <w:rPr>
          <w:rFonts w:hint="eastAsia" w:ascii="宋体" w:hAnsi="宋体" w:cs="宋体"/>
          <w:sz w:val="21"/>
          <w:szCs w:val="21"/>
        </w:rPr>
        <w:t>在提出投诉时，应附送相关证明材料。投诉书及证明材料为外文的，应同时提供其中文译本；中文与外文意思不一致的，以中文为准。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w:t>
      </w:r>
    </w:p>
    <w:p>
      <w:pPr>
        <w:pStyle w:val="6"/>
        <w:spacing w:before="0" w:after="0" w:line="360" w:lineRule="auto"/>
        <w:rPr>
          <w:rFonts w:ascii="宋体" w:hAnsi="宋体" w:cs="宋体"/>
          <w:sz w:val="21"/>
          <w:szCs w:val="21"/>
        </w:rPr>
      </w:pPr>
      <w:bookmarkStart w:id="121" w:name="_Toc102227322"/>
      <w:bookmarkStart w:id="122" w:name="_Toc9973"/>
      <w:bookmarkStart w:id="123" w:name="_Toc24852"/>
      <w:bookmarkStart w:id="124" w:name="_Toc521318179"/>
      <w:bookmarkStart w:id="125" w:name="_Toc426965638"/>
      <w:bookmarkStart w:id="126" w:name="_Toc17946"/>
      <w:bookmarkStart w:id="127" w:name="_Toc487204787"/>
      <w:bookmarkStart w:id="128" w:name="_Toc342913396"/>
      <w:r>
        <w:rPr>
          <w:rFonts w:hint="eastAsia" w:ascii="宋体" w:hAnsi="宋体" w:cs="宋体"/>
          <w:sz w:val="21"/>
          <w:szCs w:val="21"/>
        </w:rPr>
        <w:t>十、签订</w:t>
      </w:r>
      <w:bookmarkEnd w:id="121"/>
      <w:r>
        <w:rPr>
          <w:rFonts w:hint="eastAsia" w:ascii="宋体" w:hAnsi="宋体" w:cs="宋体"/>
          <w:sz w:val="21"/>
          <w:szCs w:val="21"/>
        </w:rPr>
        <w:t>合同</w:t>
      </w:r>
      <w:bookmarkEnd w:id="122"/>
      <w:bookmarkEnd w:id="123"/>
      <w:bookmarkEnd w:id="124"/>
      <w:bookmarkEnd w:id="125"/>
      <w:bookmarkEnd w:id="126"/>
      <w:bookmarkEnd w:id="127"/>
      <w:bookmarkEnd w:id="128"/>
    </w:p>
    <w:p>
      <w:pPr>
        <w:spacing w:line="360" w:lineRule="auto"/>
        <w:ind w:firstLine="315" w:firstLineChars="150"/>
        <w:rPr>
          <w:rFonts w:ascii="宋体" w:hAnsi="宋体" w:cs="宋体"/>
          <w:sz w:val="21"/>
          <w:szCs w:val="21"/>
        </w:rPr>
      </w:pPr>
      <w:r>
        <w:rPr>
          <w:rFonts w:hint="eastAsia" w:ascii="宋体" w:hAnsi="宋体" w:cs="宋体"/>
          <w:sz w:val="21"/>
          <w:szCs w:val="21"/>
        </w:rPr>
        <w:t>（一）采购人与成交供应商应当在成交通知书发出之日起30日内，按照询价通知书确定的合同文本以及采购标的、规格型号、采购金额、采购数量、技术和服务要求等事项签订政府采购合同。</w:t>
      </w:r>
    </w:p>
    <w:p>
      <w:pPr>
        <w:spacing w:line="360" w:lineRule="auto"/>
        <w:ind w:firstLine="315" w:firstLineChars="150"/>
        <w:rPr>
          <w:rFonts w:ascii="宋体" w:hAnsi="宋体" w:cs="宋体"/>
          <w:sz w:val="21"/>
          <w:szCs w:val="21"/>
        </w:rPr>
      </w:pPr>
      <w:r>
        <w:rPr>
          <w:rFonts w:hint="eastAsia" w:ascii="宋体" w:hAnsi="宋体" w:cs="宋体"/>
          <w:sz w:val="21"/>
          <w:szCs w:val="21"/>
        </w:rPr>
        <w:t>（二）询价通知书、成交供应商的响应文件及有效承诺文件等，均为签订合同的依据。</w:t>
      </w:r>
    </w:p>
    <w:p>
      <w:pPr>
        <w:spacing w:line="360" w:lineRule="auto"/>
        <w:ind w:firstLine="315" w:firstLineChars="150"/>
        <w:rPr>
          <w:rFonts w:ascii="宋体" w:hAnsi="宋体" w:cs="宋体"/>
          <w:sz w:val="21"/>
          <w:szCs w:val="21"/>
        </w:rPr>
      </w:pPr>
      <w:r>
        <w:rPr>
          <w:rFonts w:hint="eastAsia" w:ascii="宋体" w:hAnsi="宋体" w:cs="宋体"/>
          <w:sz w:val="21"/>
          <w:szCs w:val="21"/>
        </w:rPr>
        <w:t>（三）成交供应商未按照询价通知书确定的事项签订合同，或者与采购人另行订立背离合同实质性内容协议的，将承担相关法律责任。</w:t>
      </w:r>
    </w:p>
    <w:p>
      <w:pPr>
        <w:spacing w:line="360" w:lineRule="auto"/>
        <w:ind w:firstLine="315" w:firstLineChars="150"/>
        <w:rPr>
          <w:rFonts w:ascii="宋体" w:hAnsi="宋体" w:cs="宋体"/>
          <w:sz w:val="21"/>
          <w:szCs w:val="21"/>
        </w:rPr>
      </w:pPr>
      <w:r>
        <w:rPr>
          <w:rFonts w:hint="eastAsia" w:ascii="宋体" w:hAnsi="宋体" w:cs="宋体"/>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pacing w:line="360" w:lineRule="auto"/>
        <w:ind w:firstLine="315" w:firstLineChars="150"/>
        <w:rPr>
          <w:rFonts w:ascii="宋体" w:hAnsi="宋体" w:cs="宋体"/>
          <w:sz w:val="21"/>
          <w:szCs w:val="21"/>
        </w:rPr>
      </w:pPr>
      <w:r>
        <w:rPr>
          <w:rFonts w:hint="eastAsia" w:ascii="宋体" w:hAnsi="宋体" w:cs="宋体"/>
          <w:sz w:val="21"/>
          <w:szCs w:val="21"/>
        </w:rPr>
        <w:t>（五）除不可抗力等因素外，成交通知书发出后，采购人改变成交结果，或者成交供应商无正当理由拒绝签订政府采购合同的，应当承担相应的法律责任。</w:t>
      </w:r>
    </w:p>
    <w:p>
      <w:pPr>
        <w:spacing w:line="360" w:lineRule="auto"/>
        <w:ind w:firstLine="420" w:firstLineChars="200"/>
        <w:rPr>
          <w:rFonts w:ascii="宋体" w:hAnsi="宋体" w:cs="宋体"/>
          <w:sz w:val="21"/>
          <w:szCs w:val="21"/>
        </w:rPr>
      </w:pPr>
    </w:p>
    <w:p>
      <w:pPr>
        <w:spacing w:line="360" w:lineRule="auto"/>
        <w:ind w:firstLine="420" w:firstLineChars="200"/>
        <w:rPr>
          <w:rFonts w:ascii="宋体" w:hAnsi="宋体" w:cs="宋体"/>
          <w:sz w:val="21"/>
          <w:szCs w:val="21"/>
        </w:rPr>
        <w:sectPr>
          <w:footerReference r:id="rId5" w:type="default"/>
          <w:pgSz w:w="11907" w:h="16840"/>
          <w:pgMar w:top="1134" w:right="1191" w:bottom="1021" w:left="1304" w:header="964" w:footer="992" w:gutter="0"/>
          <w:pgNumType w:fmt="numberInDash" w:start="1"/>
          <w:cols w:space="720" w:num="1"/>
          <w:docGrid w:linePitch="312" w:charSpace="0"/>
        </w:sectPr>
      </w:pPr>
    </w:p>
    <w:p>
      <w:pPr>
        <w:pStyle w:val="5"/>
        <w:spacing w:before="0" w:after="0" w:line="360" w:lineRule="auto"/>
        <w:jc w:val="center"/>
        <w:rPr>
          <w:rFonts w:ascii="宋体" w:hAnsi="宋体" w:eastAsia="宋体" w:cs="宋体"/>
          <w:bCs/>
          <w:kern w:val="0"/>
          <w:sz w:val="21"/>
          <w:szCs w:val="21"/>
        </w:rPr>
      </w:pPr>
      <w:bookmarkStart w:id="129" w:name="_Toc521318180"/>
      <w:bookmarkStart w:id="130" w:name="_Toc9225"/>
      <w:bookmarkStart w:id="131" w:name="_Toc11568"/>
      <w:bookmarkStart w:id="132" w:name="_Toc8813"/>
      <w:r>
        <w:rPr>
          <w:rFonts w:hint="eastAsia" w:ascii="宋体" w:hAnsi="宋体" w:eastAsia="宋体" w:cs="宋体"/>
          <w:sz w:val="44"/>
          <w:szCs w:val="44"/>
        </w:rPr>
        <w:t xml:space="preserve">第三篇 </w:t>
      </w:r>
      <w:bookmarkEnd w:id="129"/>
      <w:bookmarkEnd w:id="130"/>
      <w:bookmarkEnd w:id="131"/>
      <w:r>
        <w:rPr>
          <w:rFonts w:hint="eastAsia" w:ascii="宋体" w:hAnsi="宋体" w:eastAsia="宋体" w:cs="宋体"/>
          <w:sz w:val="44"/>
          <w:szCs w:val="44"/>
        </w:rPr>
        <w:t>询价项目技术需求</w:t>
      </w:r>
      <w:bookmarkEnd w:id="132"/>
    </w:p>
    <w:p>
      <w:pPr>
        <w:pStyle w:val="6"/>
        <w:spacing w:before="0" w:after="0" w:line="360" w:lineRule="auto"/>
        <w:rPr>
          <w:rFonts w:ascii="宋体" w:hAnsi="宋体" w:cs="宋体"/>
          <w:sz w:val="21"/>
          <w:szCs w:val="21"/>
        </w:rPr>
      </w:pPr>
      <w:bookmarkStart w:id="133" w:name="_Toc9914"/>
      <w:bookmarkStart w:id="134" w:name="_Toc470709474"/>
      <w:bookmarkStart w:id="135" w:name="_Toc344475116"/>
      <w:bookmarkStart w:id="136" w:name="_Toc313536013"/>
      <w:bookmarkStart w:id="137" w:name="_Toc12789058"/>
      <w:r>
        <w:rPr>
          <w:rFonts w:hint="eastAsia" w:ascii="宋体" w:hAnsi="宋体" w:cs="宋体"/>
          <w:sz w:val="21"/>
          <w:szCs w:val="21"/>
        </w:rPr>
        <w:t>一、采购清单</w:t>
      </w:r>
      <w:bookmarkEnd w:id="133"/>
    </w:p>
    <w:bookmarkEnd w:id="134"/>
    <w:bookmarkEnd w:id="135"/>
    <w:bookmarkEnd w:id="136"/>
    <w:tbl>
      <w:tblPr>
        <w:tblStyle w:val="57"/>
        <w:tblW w:w="8247" w:type="dxa"/>
        <w:tblInd w:w="91" w:type="dxa"/>
        <w:tblLayout w:type="autofit"/>
        <w:tblCellMar>
          <w:top w:w="0" w:type="dxa"/>
          <w:left w:w="108" w:type="dxa"/>
          <w:bottom w:w="0" w:type="dxa"/>
          <w:right w:w="108" w:type="dxa"/>
        </w:tblCellMar>
      </w:tblPr>
      <w:tblGrid>
        <w:gridCol w:w="2360"/>
        <w:gridCol w:w="3147"/>
        <w:gridCol w:w="1465"/>
        <w:gridCol w:w="1275"/>
      </w:tblGrid>
      <w:tr>
        <w:tblPrEx>
          <w:tblCellMar>
            <w:top w:w="0" w:type="dxa"/>
            <w:left w:w="108" w:type="dxa"/>
            <w:bottom w:w="0" w:type="dxa"/>
            <w:right w:w="108" w:type="dxa"/>
          </w:tblCellMar>
        </w:tblPrEx>
        <w:trPr>
          <w:trHeight w:val="394" w:hRule="atLeast"/>
        </w:trPr>
        <w:tc>
          <w:tcPr>
            <w:tcW w:w="2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bookmarkStart w:id="138" w:name="_Toc26318"/>
            <w:bookmarkStart w:id="139" w:name="_Toc16507"/>
            <w:bookmarkStart w:id="140" w:name="_Toc521318183"/>
            <w:r>
              <w:rPr>
                <w:rFonts w:hint="eastAsia" w:ascii="宋体" w:hAnsi="宋体" w:cs="宋体"/>
                <w:kern w:val="0"/>
                <w:sz w:val="22"/>
                <w:szCs w:val="22"/>
              </w:rPr>
              <w:t>项目名称</w:t>
            </w:r>
          </w:p>
        </w:tc>
        <w:tc>
          <w:tcPr>
            <w:tcW w:w="3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产品名称</w:t>
            </w:r>
          </w:p>
        </w:tc>
        <w:tc>
          <w:tcPr>
            <w:tcW w:w="14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计量单位</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r>
      <w:tr>
        <w:tblPrEx>
          <w:tblCellMar>
            <w:top w:w="0" w:type="dxa"/>
            <w:left w:w="108" w:type="dxa"/>
            <w:bottom w:w="0" w:type="dxa"/>
            <w:right w:w="108" w:type="dxa"/>
          </w:tblCellMar>
        </w:tblPrEx>
        <w:trPr>
          <w:trHeight w:val="552" w:hRule="atLeast"/>
        </w:trPr>
        <w:tc>
          <w:tcPr>
            <w:tcW w:w="2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1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883" w:hRule="atLeast"/>
        </w:trPr>
        <w:tc>
          <w:tcPr>
            <w:tcW w:w="2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《秸秆树盘覆盖果园行间绿肥免耕综合技术示范》绿肥种子及病虫害绿色防控物资采购</w:t>
            </w:r>
          </w:p>
        </w:tc>
        <w:tc>
          <w:tcPr>
            <w:tcW w:w="3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杀虫灯</w:t>
            </w:r>
          </w:p>
        </w:tc>
        <w:tc>
          <w:tcPr>
            <w:tcW w:w="1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盏</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r>
      <w:tr>
        <w:tblPrEx>
          <w:tblCellMar>
            <w:top w:w="0" w:type="dxa"/>
            <w:left w:w="108" w:type="dxa"/>
            <w:bottom w:w="0" w:type="dxa"/>
            <w:right w:w="108" w:type="dxa"/>
          </w:tblCellMar>
        </w:tblPrEx>
        <w:trPr>
          <w:trHeight w:val="772" w:hRule="atLeast"/>
        </w:trPr>
        <w:tc>
          <w:tcPr>
            <w:tcW w:w="2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3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捕食螨</w:t>
            </w:r>
          </w:p>
        </w:tc>
        <w:tc>
          <w:tcPr>
            <w:tcW w:w="1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袋</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90000</w:t>
            </w:r>
          </w:p>
        </w:tc>
      </w:tr>
      <w:tr>
        <w:tblPrEx>
          <w:tblCellMar>
            <w:top w:w="0" w:type="dxa"/>
            <w:left w:w="108" w:type="dxa"/>
            <w:bottom w:w="0" w:type="dxa"/>
            <w:right w:w="108" w:type="dxa"/>
          </w:tblCellMar>
        </w:tblPrEx>
        <w:trPr>
          <w:trHeight w:val="520" w:hRule="atLeast"/>
        </w:trPr>
        <w:tc>
          <w:tcPr>
            <w:tcW w:w="2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314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沾虫板</w:t>
            </w:r>
          </w:p>
        </w:tc>
        <w:tc>
          <w:tcPr>
            <w:tcW w:w="1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90000</w:t>
            </w:r>
          </w:p>
        </w:tc>
      </w:tr>
      <w:tr>
        <w:tblPrEx>
          <w:tblCellMar>
            <w:top w:w="0" w:type="dxa"/>
            <w:left w:w="108" w:type="dxa"/>
            <w:bottom w:w="0" w:type="dxa"/>
            <w:right w:w="108" w:type="dxa"/>
          </w:tblCellMar>
        </w:tblPrEx>
        <w:trPr>
          <w:trHeight w:val="804" w:hRule="atLeast"/>
        </w:trPr>
        <w:tc>
          <w:tcPr>
            <w:tcW w:w="2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31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400克/袋的石硫合剂45% 结晶粉</w:t>
            </w:r>
          </w:p>
        </w:tc>
        <w:tc>
          <w:tcPr>
            <w:tcW w:w="14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袋</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3750</w:t>
            </w:r>
          </w:p>
        </w:tc>
      </w:tr>
      <w:tr>
        <w:tblPrEx>
          <w:tblCellMar>
            <w:top w:w="0" w:type="dxa"/>
            <w:left w:w="108" w:type="dxa"/>
            <w:bottom w:w="0" w:type="dxa"/>
            <w:right w:w="108" w:type="dxa"/>
          </w:tblCellMar>
        </w:tblPrEx>
        <w:trPr>
          <w:trHeight w:val="520" w:hRule="atLeast"/>
        </w:trPr>
        <w:tc>
          <w:tcPr>
            <w:tcW w:w="2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3147"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三叶草</w:t>
            </w:r>
          </w:p>
        </w:tc>
        <w:tc>
          <w:tcPr>
            <w:tcW w:w="14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sz w:val="22"/>
                <w:szCs w:val="22"/>
              </w:rPr>
              <w:t>公斤</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1980</w:t>
            </w:r>
          </w:p>
        </w:tc>
      </w:tr>
      <w:tr>
        <w:tblPrEx>
          <w:tblCellMar>
            <w:top w:w="0" w:type="dxa"/>
            <w:left w:w="108" w:type="dxa"/>
            <w:bottom w:w="0" w:type="dxa"/>
            <w:right w:w="108" w:type="dxa"/>
          </w:tblCellMar>
        </w:tblPrEx>
        <w:trPr>
          <w:trHeight w:val="520" w:hRule="atLeast"/>
        </w:trPr>
        <w:tc>
          <w:tcPr>
            <w:tcW w:w="2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3147"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ascii="宋体" w:hAnsi="宋体" w:cs="宋体"/>
                <w:color w:val="000000"/>
                <w:kern w:val="0"/>
                <w:sz w:val="20"/>
                <w:szCs w:val="20"/>
              </w:rPr>
              <w:t>苕子</w:t>
            </w:r>
          </w:p>
        </w:tc>
        <w:tc>
          <w:tcPr>
            <w:tcW w:w="14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sz w:val="22"/>
                <w:szCs w:val="22"/>
              </w:rPr>
              <w:t>公斤</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3700</w:t>
            </w:r>
          </w:p>
        </w:tc>
      </w:tr>
      <w:tr>
        <w:tblPrEx>
          <w:tblCellMar>
            <w:top w:w="0" w:type="dxa"/>
            <w:left w:w="108" w:type="dxa"/>
            <w:bottom w:w="0" w:type="dxa"/>
            <w:right w:w="108" w:type="dxa"/>
          </w:tblCellMar>
        </w:tblPrEx>
        <w:trPr>
          <w:trHeight w:val="520" w:hRule="atLeast"/>
        </w:trPr>
        <w:tc>
          <w:tcPr>
            <w:tcW w:w="2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3147"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紫花苜蓿</w:t>
            </w:r>
          </w:p>
        </w:tc>
        <w:tc>
          <w:tcPr>
            <w:tcW w:w="14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sz w:val="22"/>
                <w:szCs w:val="22"/>
              </w:rPr>
              <w:t>公斤</w:t>
            </w:r>
          </w:p>
        </w:tc>
        <w:tc>
          <w:tcPr>
            <w:tcW w:w="1275" w:type="dxa"/>
            <w:tcBorders>
              <w:top w:val="nil"/>
              <w:left w:val="nil"/>
              <w:bottom w:val="single" w:color="auto" w:sz="4" w:space="0"/>
              <w:right w:val="single" w:color="auto" w:sz="4" w:space="0"/>
            </w:tcBorders>
            <w:shd w:val="clear" w:color="auto" w:fill="auto"/>
            <w:noWrap/>
            <w:vAlign w:val="center"/>
          </w:tcPr>
          <w:p>
            <w:pPr>
              <w:ind w:firstLine="330" w:firstLineChars="150"/>
              <w:rPr>
                <w:rFonts w:ascii="宋体" w:hAnsi="宋体" w:cs="宋体"/>
                <w:color w:val="000000"/>
                <w:sz w:val="22"/>
                <w:szCs w:val="22"/>
              </w:rPr>
            </w:pPr>
            <w:r>
              <w:rPr>
                <w:rFonts w:hint="eastAsia" w:ascii="宋体" w:hAnsi="宋体" w:cs="宋体"/>
                <w:color w:val="000000"/>
                <w:sz w:val="22"/>
                <w:szCs w:val="22"/>
              </w:rPr>
              <w:t>25</w:t>
            </w:r>
          </w:p>
        </w:tc>
      </w:tr>
    </w:tbl>
    <w:p>
      <w:pPr>
        <w:spacing w:line="360" w:lineRule="auto"/>
        <w:rPr>
          <w:rFonts w:hint="eastAsia" w:ascii="宋体" w:hAnsi="宋体" w:cs="宋体"/>
          <w:b/>
          <w:bCs/>
          <w:kern w:val="0"/>
          <w:sz w:val="21"/>
          <w:szCs w:val="21"/>
        </w:rPr>
      </w:pPr>
    </w:p>
    <w:p>
      <w:pPr>
        <w:pStyle w:val="6"/>
        <w:spacing w:before="0" w:after="0" w:line="360" w:lineRule="auto"/>
        <w:rPr>
          <w:rFonts w:hint="eastAsia" w:ascii="宋体" w:hAnsi="宋体" w:cs="宋体"/>
          <w:sz w:val="21"/>
          <w:szCs w:val="21"/>
        </w:rPr>
      </w:pPr>
      <w:bookmarkStart w:id="141" w:name="_Toc19555"/>
      <w:r>
        <w:rPr>
          <w:rFonts w:hint="eastAsia" w:ascii="宋体" w:hAnsi="宋体" w:cs="宋体"/>
          <w:sz w:val="21"/>
          <w:szCs w:val="21"/>
        </w:rPr>
        <w:t>二、具体技术指标</w:t>
      </w:r>
      <w:bookmarkEnd w:id="141"/>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8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pPr>
            <w:r>
              <w:rPr>
                <w:rFonts w:hint="eastAsia"/>
              </w:rPr>
              <w:t>品名</w:t>
            </w:r>
          </w:p>
        </w:tc>
        <w:tc>
          <w:tcPr>
            <w:tcW w:w="8243" w:type="dxa"/>
            <w:vAlign w:val="center"/>
          </w:tcPr>
          <w:p>
            <w:pPr>
              <w:jc w:val="center"/>
            </w:pPr>
            <w:r>
              <w:rPr>
                <w:rFonts w:hint="eastAsia"/>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pPr>
            <w:r>
              <w:rPr>
                <w:rFonts w:hint="eastAsia"/>
              </w:rPr>
              <w:t>杀虫灯</w:t>
            </w:r>
          </w:p>
        </w:tc>
        <w:tc>
          <w:tcPr>
            <w:tcW w:w="8243" w:type="dxa"/>
            <w:vAlign w:val="center"/>
          </w:tcPr>
          <w:p>
            <w:pPr>
              <w:jc w:val="left"/>
              <w:rPr>
                <w:rFonts w:hint="eastAsia" w:ascii="宋体" w:hAnsi="宋体" w:cs="宋体"/>
                <w:color w:val="000000"/>
                <w:sz w:val="20"/>
                <w:szCs w:val="20"/>
              </w:rPr>
            </w:pPr>
            <w:r>
              <w:rPr>
                <w:rFonts w:hint="eastAsia" w:ascii="Geneva" w:hAnsi="Geneva" w:eastAsia="Geneva" w:cs="Geneva"/>
                <w:color w:val="000000"/>
                <w:sz w:val="20"/>
                <w:szCs w:val="20"/>
              </w:rPr>
              <w:t>1</w:t>
            </w:r>
            <w:r>
              <w:rPr>
                <w:rFonts w:hint="eastAsia" w:ascii="宋体" w:hAnsi="宋体" w:cs="宋体"/>
                <w:color w:val="000000"/>
                <w:sz w:val="20"/>
                <w:szCs w:val="20"/>
              </w:rPr>
              <w:t>、诱集光源：杀虫灯专用</w:t>
            </w:r>
            <w:r>
              <w:rPr>
                <w:rFonts w:hint="eastAsia" w:ascii="Geneva" w:hAnsi="Geneva" w:eastAsia="Geneva" w:cs="Geneva"/>
                <w:color w:val="000000"/>
                <w:sz w:val="20"/>
                <w:szCs w:val="20"/>
              </w:rPr>
              <w:t>LED</w:t>
            </w:r>
            <w:r>
              <w:rPr>
                <w:rFonts w:hint="eastAsia" w:ascii="宋体" w:hAnsi="宋体" w:cs="宋体"/>
                <w:color w:val="000000"/>
                <w:sz w:val="20"/>
                <w:szCs w:val="20"/>
              </w:rPr>
              <w:t>灯管，功率</w:t>
            </w:r>
            <w:r>
              <w:rPr>
                <w:rFonts w:ascii="Arial" w:hAnsi="Arial" w:eastAsia="Geneva" w:cs="Arial"/>
                <w:color w:val="000000"/>
                <w:sz w:val="20"/>
                <w:szCs w:val="20"/>
              </w:rPr>
              <w:t>≥</w:t>
            </w:r>
            <w:r>
              <w:rPr>
                <w:rFonts w:hint="eastAsia" w:ascii="Geneva" w:hAnsi="Geneva" w:eastAsia="Geneva" w:cs="Geneva"/>
                <w:color w:val="000000"/>
                <w:sz w:val="20"/>
                <w:szCs w:val="20"/>
              </w:rPr>
              <w:t>5W</w:t>
            </w:r>
            <w:r>
              <w:rPr>
                <w:rFonts w:hint="eastAsia" w:ascii="宋体" w:hAnsi="宋体" w:cs="宋体"/>
                <w:color w:val="000000"/>
                <w:sz w:val="20"/>
                <w:szCs w:val="20"/>
              </w:rPr>
              <w:t>；</w:t>
            </w:r>
          </w:p>
          <w:p>
            <w:pPr>
              <w:jc w:val="left"/>
              <w:rPr>
                <w:rFonts w:hint="eastAsia" w:ascii="宋体" w:hAnsi="宋体" w:cs="宋体"/>
                <w:color w:val="000000"/>
                <w:sz w:val="20"/>
                <w:szCs w:val="20"/>
              </w:rPr>
            </w:pPr>
            <w:r>
              <w:rPr>
                <w:rFonts w:hint="eastAsia" w:ascii="宋体" w:hAnsi="宋体" w:cs="宋体"/>
                <w:color w:val="000000"/>
                <w:sz w:val="20"/>
                <w:szCs w:val="20"/>
              </w:rPr>
              <w:t>★</w:t>
            </w:r>
            <w:r>
              <w:rPr>
                <w:rFonts w:hint="eastAsia" w:ascii="Geneva" w:hAnsi="Geneva" w:eastAsia="Geneva" w:cs="Geneva"/>
                <w:color w:val="000000"/>
                <w:sz w:val="20"/>
                <w:szCs w:val="20"/>
              </w:rPr>
              <w:t>2</w:t>
            </w:r>
            <w:r>
              <w:rPr>
                <w:rFonts w:hint="eastAsia" w:ascii="宋体" w:hAnsi="宋体" w:cs="宋体"/>
                <w:color w:val="000000"/>
                <w:sz w:val="20"/>
                <w:szCs w:val="20"/>
              </w:rPr>
              <w:t>、变频功能：光源每</w:t>
            </w:r>
            <w:r>
              <w:rPr>
                <w:rFonts w:hint="eastAsia" w:ascii="Geneva" w:hAnsi="Geneva" w:eastAsia="Geneva" w:cs="Geneva"/>
                <w:color w:val="000000"/>
                <w:sz w:val="20"/>
                <w:szCs w:val="20"/>
              </w:rPr>
              <w:t>15-30min</w:t>
            </w:r>
            <w:r>
              <w:rPr>
                <w:rFonts w:hint="eastAsia" w:ascii="宋体" w:hAnsi="宋体" w:cs="宋体"/>
                <w:color w:val="000000"/>
                <w:sz w:val="20"/>
                <w:szCs w:val="20"/>
              </w:rPr>
              <w:t>变频一次，变频闪烁时间为</w:t>
            </w:r>
            <w:r>
              <w:rPr>
                <w:rFonts w:hint="eastAsia" w:ascii="Geneva" w:hAnsi="Geneva" w:eastAsia="Geneva" w:cs="Geneva"/>
                <w:color w:val="000000"/>
                <w:sz w:val="20"/>
                <w:szCs w:val="20"/>
              </w:rPr>
              <w:t>1-5min</w:t>
            </w:r>
            <w:r>
              <w:rPr>
                <w:rFonts w:hint="eastAsia" w:ascii="宋体" w:hAnsi="宋体" w:cs="宋体"/>
                <w:color w:val="000000"/>
                <w:sz w:val="20"/>
                <w:szCs w:val="20"/>
              </w:rPr>
              <w:t>；</w:t>
            </w:r>
          </w:p>
          <w:p>
            <w:pPr>
              <w:jc w:val="left"/>
              <w:rPr>
                <w:rFonts w:hint="eastAsia" w:ascii="宋体" w:hAnsi="宋体" w:cs="宋体"/>
                <w:color w:val="000000"/>
                <w:sz w:val="20"/>
                <w:szCs w:val="20"/>
              </w:rPr>
            </w:pPr>
            <w:r>
              <w:rPr>
                <w:rFonts w:hint="eastAsia" w:ascii="Geneva" w:hAnsi="Geneva" w:eastAsia="Geneva" w:cs="Geneva"/>
                <w:color w:val="000000"/>
                <w:sz w:val="20"/>
                <w:szCs w:val="20"/>
              </w:rPr>
              <w:t>3</w:t>
            </w:r>
            <w:r>
              <w:rPr>
                <w:rFonts w:hint="eastAsia" w:ascii="宋体" w:hAnsi="宋体" w:cs="宋体"/>
                <w:color w:val="000000"/>
                <w:sz w:val="20"/>
                <w:szCs w:val="20"/>
              </w:rPr>
              <w:t>、灯管启动时间：</w:t>
            </w:r>
            <w:r>
              <w:rPr>
                <w:rFonts w:ascii="Arial" w:hAnsi="Arial" w:eastAsia="Geneva" w:cs="Arial"/>
                <w:color w:val="000000"/>
                <w:sz w:val="20"/>
                <w:szCs w:val="20"/>
              </w:rPr>
              <w:t>≤</w:t>
            </w:r>
            <w:r>
              <w:rPr>
                <w:rFonts w:hint="eastAsia" w:ascii="Geneva" w:hAnsi="Geneva" w:eastAsia="Geneva" w:cs="Geneva"/>
                <w:color w:val="000000"/>
                <w:sz w:val="20"/>
                <w:szCs w:val="20"/>
              </w:rPr>
              <w:t>1s</w:t>
            </w:r>
            <w:r>
              <w:rPr>
                <w:rFonts w:hint="eastAsia" w:ascii="宋体" w:hAnsi="宋体" w:cs="宋体"/>
                <w:color w:val="000000"/>
                <w:sz w:val="20"/>
                <w:szCs w:val="20"/>
              </w:rPr>
              <w:t>；</w:t>
            </w:r>
          </w:p>
          <w:p>
            <w:pPr>
              <w:jc w:val="left"/>
              <w:rPr>
                <w:rFonts w:hint="eastAsia" w:ascii="宋体" w:hAnsi="宋体" w:cs="宋体"/>
                <w:color w:val="000000"/>
                <w:sz w:val="20"/>
                <w:szCs w:val="20"/>
              </w:rPr>
            </w:pPr>
            <w:r>
              <w:rPr>
                <w:rFonts w:hint="eastAsia" w:ascii="Geneva" w:hAnsi="Geneva" w:eastAsia="Geneva" w:cs="Geneva"/>
                <w:color w:val="000000"/>
                <w:sz w:val="20"/>
                <w:szCs w:val="20"/>
              </w:rPr>
              <w:t>4</w:t>
            </w:r>
            <w:r>
              <w:rPr>
                <w:rFonts w:hint="eastAsia" w:ascii="宋体" w:hAnsi="宋体" w:cs="宋体"/>
                <w:color w:val="000000"/>
                <w:sz w:val="20"/>
                <w:szCs w:val="20"/>
              </w:rPr>
              <w:t>、蓄电池：太阳能杀虫灯专用锂电池</w:t>
            </w:r>
            <w:r>
              <w:rPr>
                <w:rFonts w:ascii="Arial" w:hAnsi="Arial" w:eastAsia="Geneva" w:cs="Arial"/>
                <w:color w:val="000000"/>
                <w:sz w:val="20"/>
                <w:szCs w:val="20"/>
              </w:rPr>
              <w:t>≥</w:t>
            </w:r>
            <w:r>
              <w:rPr>
                <w:rFonts w:hint="eastAsia" w:ascii="Geneva" w:hAnsi="Geneva" w:eastAsia="Geneva" w:cs="Geneva"/>
                <w:color w:val="000000"/>
                <w:sz w:val="20"/>
                <w:szCs w:val="20"/>
              </w:rPr>
              <w:t>12V/16Ah</w:t>
            </w:r>
            <w:r>
              <w:rPr>
                <w:rFonts w:hint="eastAsia" w:ascii="宋体" w:hAnsi="宋体" w:cs="宋体"/>
                <w:color w:val="000000"/>
                <w:sz w:val="20"/>
                <w:szCs w:val="20"/>
              </w:rPr>
              <w:t>，有防盗设计（每天工作</w:t>
            </w:r>
            <w:r>
              <w:rPr>
                <w:rFonts w:hint="eastAsia" w:ascii="Geneva" w:hAnsi="Geneva" w:eastAsia="Geneva" w:cs="Geneva"/>
                <w:color w:val="000000"/>
                <w:sz w:val="20"/>
                <w:szCs w:val="20"/>
              </w:rPr>
              <w:t>6</w:t>
            </w:r>
            <w:r>
              <w:rPr>
                <w:rFonts w:hint="eastAsia" w:ascii="宋体" w:hAnsi="宋体" w:cs="宋体"/>
                <w:color w:val="000000"/>
                <w:sz w:val="20"/>
                <w:szCs w:val="20"/>
              </w:rPr>
              <w:t>小时，连续五天阴雨天气可正常工作）；</w:t>
            </w:r>
          </w:p>
          <w:p>
            <w:pPr>
              <w:jc w:val="left"/>
              <w:rPr>
                <w:rFonts w:hint="eastAsia" w:ascii="宋体" w:hAnsi="宋体" w:cs="宋体"/>
                <w:color w:val="000000"/>
                <w:sz w:val="20"/>
                <w:szCs w:val="20"/>
              </w:rPr>
            </w:pPr>
            <w:r>
              <w:rPr>
                <w:rFonts w:hint="eastAsia" w:ascii="宋体" w:hAnsi="宋体" w:cs="宋体"/>
                <w:color w:val="000000"/>
                <w:sz w:val="20"/>
                <w:szCs w:val="20"/>
              </w:rPr>
              <w:t>★</w:t>
            </w:r>
            <w:r>
              <w:rPr>
                <w:rFonts w:hint="eastAsia" w:ascii="Geneva" w:hAnsi="Geneva" w:eastAsia="Geneva" w:cs="Geneva"/>
                <w:color w:val="000000"/>
                <w:sz w:val="20"/>
                <w:szCs w:val="20"/>
              </w:rPr>
              <w:t>5</w:t>
            </w:r>
            <w:r>
              <w:rPr>
                <w:rFonts w:hint="eastAsia" w:ascii="宋体" w:hAnsi="宋体" w:cs="宋体"/>
                <w:color w:val="000000"/>
                <w:sz w:val="20"/>
                <w:szCs w:val="20"/>
              </w:rPr>
              <w:t>、高压电网：安装盘可以拆卸，电网安装总成为圆形，且电网采用</w:t>
            </w:r>
            <w:r>
              <w:rPr>
                <w:rFonts w:hint="eastAsia" w:ascii="Geneva" w:hAnsi="Geneva" w:eastAsia="Geneva" w:cs="Geneva"/>
                <w:color w:val="000000"/>
                <w:sz w:val="20"/>
                <w:szCs w:val="20"/>
              </w:rPr>
              <w:t>304</w:t>
            </w:r>
            <w:r>
              <w:rPr>
                <w:rFonts w:hint="eastAsia" w:ascii="宋体" w:hAnsi="宋体" w:cs="宋体"/>
                <w:color w:val="000000"/>
                <w:sz w:val="20"/>
                <w:szCs w:val="20"/>
              </w:rPr>
              <w:t>不锈钢竖排网，内外网双层设计，同一平面触杀害虫，电网采用三根不锈钢螺杆进行固定支撑，网丝直径</w:t>
            </w:r>
            <w:r>
              <w:rPr>
                <w:rFonts w:ascii="Arial" w:hAnsi="Arial" w:eastAsia="Geneva" w:cs="Arial"/>
                <w:color w:val="000000"/>
                <w:sz w:val="20"/>
                <w:szCs w:val="20"/>
              </w:rPr>
              <w:t>≥</w:t>
            </w:r>
            <w:r>
              <w:rPr>
                <w:rFonts w:hint="eastAsia" w:ascii="Geneva" w:hAnsi="Geneva" w:eastAsia="Geneva" w:cs="Geneva"/>
                <w:color w:val="000000"/>
                <w:sz w:val="20"/>
                <w:szCs w:val="20"/>
              </w:rPr>
              <w:t>2.0mm</w:t>
            </w:r>
            <w:r>
              <w:rPr>
                <w:rFonts w:hint="eastAsia" w:ascii="宋体" w:hAnsi="宋体" w:cs="宋体"/>
                <w:color w:val="000000"/>
                <w:sz w:val="20"/>
                <w:szCs w:val="20"/>
              </w:rPr>
              <w:t>，高电压低电流，使用安全杀虫效果更好；</w:t>
            </w:r>
            <w:r>
              <w:rPr>
                <w:rFonts w:hint="eastAsia" w:ascii="Geneva" w:hAnsi="Geneva" w:eastAsia="Geneva" w:cs="Geneva"/>
                <w:color w:val="000000"/>
                <w:sz w:val="20"/>
                <w:szCs w:val="20"/>
              </w:rPr>
              <w:t xml:space="preserve"> </w:t>
            </w:r>
            <w:r>
              <w:rPr>
                <w:rFonts w:hint="eastAsia" w:ascii="宋体" w:hAnsi="宋体" w:cs="宋体"/>
                <w:color w:val="000000"/>
                <w:sz w:val="20"/>
                <w:szCs w:val="20"/>
              </w:rPr>
              <w:t>电网电压：</w:t>
            </w:r>
            <w:r>
              <w:rPr>
                <w:rFonts w:ascii="Arial" w:hAnsi="Arial" w:eastAsia="Geneva" w:cs="Arial"/>
                <w:color w:val="000000"/>
                <w:sz w:val="20"/>
                <w:szCs w:val="20"/>
              </w:rPr>
              <w:t>≥</w:t>
            </w:r>
            <w:r>
              <w:rPr>
                <w:rFonts w:hint="eastAsia" w:ascii="Geneva" w:hAnsi="Geneva" w:eastAsia="Geneva" w:cs="Geneva"/>
                <w:color w:val="000000"/>
                <w:sz w:val="20"/>
                <w:szCs w:val="20"/>
              </w:rPr>
              <w:t>4000V</w:t>
            </w:r>
            <w:r>
              <w:rPr>
                <w:rFonts w:hint="eastAsia" w:ascii="宋体" w:hAnsi="宋体" w:cs="宋体"/>
                <w:color w:val="000000"/>
                <w:sz w:val="20"/>
                <w:szCs w:val="20"/>
              </w:rPr>
              <w:t>；撞击面积：</w:t>
            </w:r>
            <w:r>
              <w:rPr>
                <w:rFonts w:ascii="Arial" w:hAnsi="Arial" w:eastAsia="Geneva" w:cs="Arial"/>
                <w:color w:val="000000"/>
                <w:sz w:val="20"/>
                <w:szCs w:val="20"/>
              </w:rPr>
              <w:t>≥</w:t>
            </w:r>
            <w:r>
              <w:rPr>
                <w:rFonts w:hint="eastAsia" w:ascii="Geneva" w:hAnsi="Geneva" w:eastAsia="Geneva" w:cs="Geneva"/>
                <w:color w:val="000000"/>
                <w:sz w:val="20"/>
                <w:szCs w:val="20"/>
              </w:rPr>
              <w:t>0.15</w:t>
            </w:r>
            <w:r>
              <w:rPr>
                <w:rFonts w:hint="eastAsia" w:ascii="宋体" w:hAnsi="宋体" w:cs="宋体"/>
                <w:color w:val="000000"/>
                <w:sz w:val="20"/>
                <w:szCs w:val="20"/>
              </w:rPr>
              <w:t>㎡；</w:t>
            </w:r>
          </w:p>
          <w:p>
            <w:pPr>
              <w:jc w:val="left"/>
              <w:rPr>
                <w:rFonts w:hint="eastAsia" w:ascii="宋体" w:hAnsi="宋体" w:cs="宋体"/>
                <w:color w:val="000000"/>
                <w:sz w:val="20"/>
                <w:szCs w:val="20"/>
              </w:rPr>
            </w:pPr>
            <w:r>
              <w:rPr>
                <w:rFonts w:hint="eastAsia" w:ascii="宋体" w:hAnsi="宋体" w:cs="宋体"/>
                <w:color w:val="000000"/>
                <w:sz w:val="20"/>
                <w:szCs w:val="20"/>
              </w:rPr>
              <w:t>★</w:t>
            </w:r>
            <w:r>
              <w:rPr>
                <w:rFonts w:hint="eastAsia" w:ascii="Geneva" w:hAnsi="Geneva" w:eastAsia="Geneva" w:cs="Geneva"/>
                <w:color w:val="000000"/>
                <w:sz w:val="20"/>
                <w:szCs w:val="20"/>
              </w:rPr>
              <w:t>6</w:t>
            </w:r>
            <w:r>
              <w:rPr>
                <w:rFonts w:hint="eastAsia" w:ascii="宋体" w:hAnsi="宋体" w:cs="宋体"/>
                <w:color w:val="000000"/>
                <w:sz w:val="20"/>
                <w:szCs w:val="20"/>
              </w:rPr>
              <w:t>、雨控</w:t>
            </w:r>
            <w:r>
              <w:rPr>
                <w:rFonts w:hint="eastAsia" w:ascii="Geneva" w:hAnsi="Geneva" w:eastAsia="Geneva" w:cs="Geneva"/>
                <w:color w:val="000000"/>
                <w:sz w:val="20"/>
                <w:szCs w:val="20"/>
              </w:rPr>
              <w:t>:</w:t>
            </w:r>
            <w:r>
              <w:rPr>
                <w:rFonts w:hint="eastAsia" w:ascii="宋体" w:hAnsi="宋体" w:cs="宋体"/>
                <w:color w:val="000000"/>
                <w:sz w:val="20"/>
                <w:szCs w:val="20"/>
              </w:rPr>
              <w:t>具有防露滴功能至少</w:t>
            </w:r>
            <w:r>
              <w:rPr>
                <w:rFonts w:hint="eastAsia" w:ascii="Geneva" w:hAnsi="Geneva" w:eastAsia="Geneva" w:cs="Geneva"/>
                <w:color w:val="000000"/>
                <w:sz w:val="20"/>
                <w:szCs w:val="20"/>
              </w:rPr>
              <w:t>3</w:t>
            </w:r>
            <w:r>
              <w:rPr>
                <w:rFonts w:hint="eastAsia" w:ascii="宋体" w:hAnsi="宋体" w:cs="宋体"/>
                <w:color w:val="000000"/>
                <w:sz w:val="20"/>
                <w:szCs w:val="20"/>
              </w:rPr>
              <w:t>次及以上，在雨天杀虫灯能进入自动保护状态，雨停后可自动恢复工作；</w:t>
            </w:r>
          </w:p>
          <w:p>
            <w:pPr>
              <w:jc w:val="left"/>
              <w:rPr>
                <w:rFonts w:hint="eastAsia" w:ascii="宋体" w:hAnsi="宋体" w:cs="宋体"/>
                <w:color w:val="000000"/>
                <w:sz w:val="20"/>
                <w:szCs w:val="20"/>
              </w:rPr>
            </w:pPr>
            <w:r>
              <w:rPr>
                <w:rFonts w:hint="eastAsia" w:ascii="Geneva" w:hAnsi="Geneva" w:eastAsia="Geneva" w:cs="Geneva"/>
                <w:color w:val="000000"/>
                <w:sz w:val="20"/>
                <w:szCs w:val="20"/>
              </w:rPr>
              <w:t>7</w:t>
            </w:r>
            <w:r>
              <w:rPr>
                <w:rFonts w:hint="eastAsia" w:ascii="宋体" w:hAnsi="宋体" w:cs="宋体"/>
                <w:color w:val="000000"/>
                <w:sz w:val="20"/>
                <w:szCs w:val="20"/>
              </w:rPr>
              <w:t>、光控功能：能按外界光线变化自动控制、外界强光瞬间照射不改变工作状态；</w:t>
            </w:r>
          </w:p>
          <w:p>
            <w:pPr>
              <w:jc w:val="left"/>
              <w:rPr>
                <w:rFonts w:hint="eastAsia" w:ascii="宋体" w:hAnsi="宋体" w:cs="宋体"/>
                <w:color w:val="000000"/>
                <w:sz w:val="20"/>
                <w:szCs w:val="20"/>
              </w:rPr>
            </w:pPr>
            <w:r>
              <w:rPr>
                <w:rFonts w:hint="eastAsia" w:ascii="Geneva" w:hAnsi="Geneva" w:eastAsia="Geneva" w:cs="Geneva"/>
                <w:color w:val="000000"/>
                <w:sz w:val="20"/>
                <w:szCs w:val="20"/>
              </w:rPr>
              <w:t>8</w:t>
            </w:r>
            <w:r>
              <w:rPr>
                <w:rFonts w:hint="eastAsia" w:ascii="宋体" w:hAnsi="宋体" w:cs="宋体"/>
                <w:color w:val="000000"/>
                <w:sz w:val="20"/>
                <w:szCs w:val="20"/>
              </w:rPr>
              <w:t>、时控功能：杀虫灯应能在设定的时间开始工作和停止工作，误差应不超过</w:t>
            </w:r>
            <w:r>
              <w:rPr>
                <w:rFonts w:hint="eastAsia" w:ascii="Geneva" w:hAnsi="Geneva" w:eastAsia="Geneva" w:cs="Geneva"/>
                <w:color w:val="000000"/>
                <w:sz w:val="20"/>
                <w:szCs w:val="20"/>
              </w:rPr>
              <w:t>10min</w:t>
            </w:r>
            <w:r>
              <w:rPr>
                <w:rFonts w:hint="eastAsia" w:ascii="宋体" w:hAnsi="宋体" w:cs="宋体"/>
                <w:color w:val="000000"/>
                <w:sz w:val="20"/>
                <w:szCs w:val="20"/>
              </w:rPr>
              <w:t>；</w:t>
            </w:r>
          </w:p>
          <w:p>
            <w:pPr>
              <w:jc w:val="left"/>
              <w:rPr>
                <w:rFonts w:hint="eastAsia" w:ascii="宋体" w:hAnsi="宋体" w:cs="宋体"/>
                <w:color w:val="000000"/>
                <w:sz w:val="20"/>
                <w:szCs w:val="20"/>
              </w:rPr>
            </w:pPr>
            <w:r>
              <w:rPr>
                <w:rFonts w:hint="eastAsia" w:ascii="宋体" w:hAnsi="宋体" w:cs="宋体"/>
                <w:color w:val="000000"/>
                <w:sz w:val="20"/>
                <w:szCs w:val="20"/>
              </w:rPr>
              <w:t>★</w:t>
            </w:r>
            <w:r>
              <w:rPr>
                <w:rFonts w:hint="eastAsia" w:ascii="Geneva" w:hAnsi="Geneva" w:eastAsia="Geneva" w:cs="Geneva"/>
                <w:color w:val="000000"/>
                <w:sz w:val="20"/>
                <w:szCs w:val="20"/>
              </w:rPr>
              <w:t>9</w:t>
            </w:r>
            <w:r>
              <w:rPr>
                <w:rFonts w:hint="eastAsia" w:ascii="宋体" w:hAnsi="宋体" w:cs="宋体"/>
                <w:color w:val="000000"/>
                <w:sz w:val="20"/>
                <w:szCs w:val="20"/>
              </w:rPr>
              <w:t>、温控功能：杀虫灯应能根据设定的温度开始或停止工作，误差</w:t>
            </w:r>
            <w:r>
              <w:rPr>
                <w:rFonts w:ascii="Arial" w:hAnsi="Arial" w:eastAsia="Geneva" w:cs="Arial"/>
                <w:color w:val="000000"/>
                <w:sz w:val="20"/>
                <w:szCs w:val="20"/>
              </w:rPr>
              <w:t>≤±</w:t>
            </w:r>
            <w:r>
              <w:rPr>
                <w:rFonts w:hint="eastAsia" w:ascii="Geneva" w:hAnsi="Geneva" w:eastAsia="Geneva" w:cs="Geneva"/>
                <w:color w:val="000000"/>
                <w:sz w:val="20"/>
                <w:szCs w:val="20"/>
              </w:rPr>
              <w:t>2</w:t>
            </w:r>
            <w:r>
              <w:rPr>
                <w:rFonts w:hint="eastAsia" w:ascii="宋体" w:hAnsi="宋体" w:cs="宋体"/>
                <w:color w:val="000000"/>
                <w:sz w:val="20"/>
                <w:szCs w:val="20"/>
              </w:rPr>
              <w:t>℃；</w:t>
            </w:r>
          </w:p>
          <w:p>
            <w:pPr>
              <w:jc w:val="left"/>
              <w:rPr>
                <w:rFonts w:hint="eastAsia" w:ascii="宋体" w:hAnsi="宋体" w:cs="宋体"/>
                <w:color w:val="000000"/>
                <w:sz w:val="20"/>
                <w:szCs w:val="20"/>
              </w:rPr>
            </w:pPr>
            <w:r>
              <w:rPr>
                <w:rFonts w:hint="eastAsia" w:ascii="Geneva" w:hAnsi="Geneva" w:eastAsia="Geneva" w:cs="Geneva"/>
                <w:color w:val="000000"/>
                <w:sz w:val="20"/>
                <w:szCs w:val="20"/>
              </w:rPr>
              <w:t>10</w:t>
            </w:r>
            <w:r>
              <w:rPr>
                <w:rFonts w:hint="eastAsia" w:ascii="宋体" w:hAnsi="宋体" w:cs="宋体"/>
                <w:color w:val="000000"/>
                <w:sz w:val="20"/>
                <w:szCs w:val="20"/>
              </w:rPr>
              <w:t>、电池板规格：太阳能电池采用高电压输出，单晶硅电池片，功率</w:t>
            </w:r>
            <w:r>
              <w:rPr>
                <w:rFonts w:ascii="Arial" w:hAnsi="Arial" w:eastAsia="Geneva" w:cs="Arial"/>
                <w:color w:val="000000"/>
                <w:sz w:val="20"/>
                <w:szCs w:val="20"/>
              </w:rPr>
              <w:t>≥</w:t>
            </w:r>
            <w:r>
              <w:rPr>
                <w:rFonts w:hint="eastAsia" w:ascii="Geneva" w:hAnsi="Geneva" w:eastAsia="Geneva" w:cs="Geneva"/>
                <w:color w:val="000000"/>
                <w:sz w:val="20"/>
                <w:szCs w:val="20"/>
              </w:rPr>
              <w:t>40W</w:t>
            </w:r>
            <w:r>
              <w:rPr>
                <w:rFonts w:hint="eastAsia" w:ascii="宋体" w:hAnsi="宋体" w:cs="宋体"/>
                <w:color w:val="000000"/>
                <w:sz w:val="20"/>
                <w:szCs w:val="20"/>
              </w:rPr>
              <w:t>；</w:t>
            </w:r>
          </w:p>
          <w:p>
            <w:pPr>
              <w:jc w:val="left"/>
              <w:rPr>
                <w:rFonts w:hint="eastAsia" w:ascii="宋体" w:hAnsi="宋体" w:cs="宋体"/>
                <w:color w:val="000000"/>
                <w:sz w:val="20"/>
                <w:szCs w:val="20"/>
              </w:rPr>
            </w:pPr>
            <w:r>
              <w:rPr>
                <w:rFonts w:hint="eastAsia" w:ascii="宋体" w:hAnsi="宋体" w:cs="宋体"/>
                <w:color w:val="000000"/>
                <w:sz w:val="20"/>
                <w:szCs w:val="20"/>
              </w:rPr>
              <w:t>★</w:t>
            </w:r>
            <w:r>
              <w:rPr>
                <w:rFonts w:hint="eastAsia" w:ascii="Geneva" w:hAnsi="Geneva" w:eastAsia="Geneva" w:cs="Geneva"/>
                <w:color w:val="000000"/>
                <w:sz w:val="20"/>
                <w:szCs w:val="20"/>
              </w:rPr>
              <w:t>11</w:t>
            </w:r>
            <w:r>
              <w:rPr>
                <w:rFonts w:hint="eastAsia" w:ascii="宋体" w:hAnsi="宋体" w:cs="宋体"/>
                <w:color w:val="000000"/>
                <w:sz w:val="20"/>
                <w:szCs w:val="20"/>
              </w:rPr>
              <w:t>、灯头材料：灯头塑胶为防阻燃材料，同时有置放诱芯的装置（注：每一盏灯配</w:t>
            </w:r>
            <w:r>
              <w:rPr>
                <w:rFonts w:hint="eastAsia" w:ascii="Geneva" w:hAnsi="Geneva" w:eastAsia="Geneva" w:cs="Geneva"/>
                <w:color w:val="000000"/>
                <w:sz w:val="20"/>
                <w:szCs w:val="20"/>
              </w:rPr>
              <w:t>2</w:t>
            </w:r>
            <w:r>
              <w:rPr>
                <w:rFonts w:hint="eastAsia" w:ascii="宋体" w:hAnsi="宋体" w:cs="宋体"/>
                <w:color w:val="000000"/>
                <w:sz w:val="20"/>
                <w:szCs w:val="20"/>
              </w:rPr>
              <w:t>粒诱芯，因安装作物基地不一样，主要害虫的诱芯，待供货时商定）；</w:t>
            </w:r>
          </w:p>
          <w:p>
            <w:pPr>
              <w:ind w:firstLine="100" w:firstLineChars="50"/>
              <w:jc w:val="left"/>
              <w:rPr>
                <w:rFonts w:hint="eastAsia" w:ascii="宋体" w:hAnsi="宋体" w:cs="宋体"/>
                <w:color w:val="000000"/>
                <w:sz w:val="20"/>
                <w:szCs w:val="20"/>
              </w:rPr>
            </w:pPr>
            <w:r>
              <w:rPr>
                <w:rFonts w:hint="eastAsia" w:ascii="Geneva" w:hAnsi="Geneva" w:eastAsia="Geneva" w:cs="Geneva"/>
                <w:color w:val="000000"/>
                <w:sz w:val="20"/>
                <w:szCs w:val="20"/>
              </w:rPr>
              <w:t>12</w:t>
            </w:r>
            <w:r>
              <w:rPr>
                <w:rFonts w:hint="eastAsia" w:ascii="宋体" w:hAnsi="宋体" w:cs="宋体"/>
                <w:color w:val="000000"/>
                <w:sz w:val="20"/>
                <w:szCs w:val="20"/>
              </w:rPr>
              <w:t>、外观质量：平整光洁、色泽均匀、无裂痕。焊接光滑、无毛刺虚焊等缺陷；</w:t>
            </w:r>
          </w:p>
          <w:p>
            <w:pPr>
              <w:jc w:val="left"/>
              <w:rPr>
                <w:rFonts w:hint="eastAsia" w:ascii="宋体" w:hAnsi="宋体" w:cs="宋体"/>
                <w:color w:val="000000"/>
                <w:sz w:val="20"/>
                <w:szCs w:val="20"/>
              </w:rPr>
            </w:pPr>
            <w:r>
              <w:rPr>
                <w:rFonts w:hint="eastAsia" w:ascii="宋体" w:hAnsi="宋体" w:cs="宋体"/>
                <w:color w:val="000000"/>
                <w:sz w:val="20"/>
                <w:szCs w:val="20"/>
              </w:rPr>
              <w:t>★</w:t>
            </w:r>
            <w:r>
              <w:rPr>
                <w:rFonts w:hint="eastAsia" w:ascii="Geneva" w:hAnsi="Geneva" w:eastAsia="Geneva" w:cs="Geneva"/>
                <w:color w:val="000000"/>
                <w:sz w:val="20"/>
                <w:szCs w:val="20"/>
              </w:rPr>
              <w:t>13</w:t>
            </w:r>
            <w:r>
              <w:rPr>
                <w:rFonts w:hint="eastAsia" w:ascii="宋体" w:hAnsi="宋体" w:cs="宋体"/>
                <w:color w:val="000000"/>
                <w:sz w:val="20"/>
                <w:szCs w:val="20"/>
              </w:rPr>
              <w:t>、电网电压具有智能稳定系统，电池电压在</w:t>
            </w:r>
            <w:r>
              <w:rPr>
                <w:rFonts w:hint="eastAsia" w:ascii="Geneva" w:hAnsi="Geneva" w:eastAsia="Geneva" w:cs="Geneva"/>
                <w:color w:val="000000"/>
                <w:sz w:val="20"/>
                <w:szCs w:val="20"/>
              </w:rPr>
              <w:t>10.0V-12.6V</w:t>
            </w:r>
            <w:r>
              <w:rPr>
                <w:rFonts w:hint="eastAsia" w:ascii="宋体" w:hAnsi="宋体" w:cs="宋体"/>
                <w:color w:val="000000"/>
                <w:sz w:val="20"/>
                <w:szCs w:val="20"/>
              </w:rPr>
              <w:t>变化时，高压电网自动稳压</w:t>
            </w:r>
            <w:r>
              <w:rPr>
                <w:rFonts w:ascii="Arial" w:hAnsi="Arial" w:eastAsia="Geneva" w:cs="Arial"/>
                <w:color w:val="000000"/>
                <w:sz w:val="20"/>
                <w:szCs w:val="20"/>
              </w:rPr>
              <w:t>±</w:t>
            </w:r>
            <w:r>
              <w:rPr>
                <w:rFonts w:hint="eastAsia" w:ascii="Geneva" w:hAnsi="Geneva" w:eastAsia="Geneva" w:cs="Geneva"/>
                <w:color w:val="000000"/>
                <w:sz w:val="20"/>
                <w:szCs w:val="20"/>
              </w:rPr>
              <w:t>200V</w:t>
            </w:r>
            <w:r>
              <w:rPr>
                <w:rFonts w:hint="eastAsia" w:ascii="宋体" w:hAnsi="宋体" w:cs="宋体"/>
                <w:color w:val="000000"/>
                <w:sz w:val="20"/>
                <w:szCs w:val="20"/>
              </w:rPr>
              <w:t>；</w:t>
            </w:r>
          </w:p>
          <w:p>
            <w:pPr>
              <w:jc w:val="left"/>
              <w:rPr>
                <w:rFonts w:hint="eastAsia" w:ascii="Geneva" w:hAnsi="Geneva" w:cs="Geneva" w:eastAsiaTheme="minorEastAsia"/>
                <w:color w:val="000000"/>
                <w:sz w:val="20"/>
                <w:szCs w:val="20"/>
              </w:rPr>
            </w:pPr>
            <w:r>
              <w:rPr>
                <w:rFonts w:hint="eastAsia" w:ascii="Geneva" w:hAnsi="Geneva" w:eastAsia="Geneva" w:cs="Geneva"/>
                <w:color w:val="000000"/>
                <w:sz w:val="20"/>
                <w:szCs w:val="20"/>
              </w:rPr>
              <w:t>14</w:t>
            </w:r>
            <w:r>
              <w:rPr>
                <w:rFonts w:hint="eastAsia" w:ascii="宋体" w:hAnsi="宋体" w:cs="宋体"/>
                <w:color w:val="000000"/>
                <w:sz w:val="20"/>
                <w:szCs w:val="20"/>
              </w:rPr>
              <w:t>、运行指示功能</w:t>
            </w:r>
            <w:r>
              <w:rPr>
                <w:rFonts w:hint="eastAsia" w:ascii="Geneva" w:hAnsi="Geneva" w:eastAsia="Geneva" w:cs="Geneva"/>
                <w:color w:val="000000"/>
                <w:sz w:val="20"/>
                <w:szCs w:val="20"/>
              </w:rPr>
              <w:t>:</w:t>
            </w:r>
            <w:r>
              <w:rPr>
                <w:rFonts w:hint="eastAsia" w:ascii="宋体" w:hAnsi="宋体" w:cs="宋体"/>
                <w:color w:val="000000"/>
                <w:sz w:val="20"/>
                <w:szCs w:val="20"/>
              </w:rPr>
              <w:t>运行有故障时，可以通过声、光等方式进行相应指示</w:t>
            </w:r>
            <w:r>
              <w:rPr>
                <w:rFonts w:hint="eastAsia" w:ascii="Geneva" w:hAnsi="Geneva" w:eastAsia="Geneva" w:cs="Geneva"/>
                <w:color w:val="000000"/>
                <w:sz w:val="20"/>
                <w:szCs w:val="20"/>
              </w:rPr>
              <w:t>;</w:t>
            </w:r>
          </w:p>
          <w:p>
            <w:pPr>
              <w:jc w:val="left"/>
              <w:rPr>
                <w:rFonts w:hint="eastAsia" w:ascii="宋体" w:hAnsi="宋体" w:cs="宋体"/>
                <w:color w:val="000000"/>
                <w:sz w:val="20"/>
                <w:szCs w:val="20"/>
              </w:rPr>
            </w:pPr>
            <w:r>
              <w:rPr>
                <w:rFonts w:hint="eastAsia" w:ascii="Geneva" w:hAnsi="Geneva" w:eastAsia="Geneva" w:cs="Geneva"/>
                <w:color w:val="000000"/>
                <w:sz w:val="20"/>
                <w:szCs w:val="20"/>
              </w:rPr>
              <w:t>15</w:t>
            </w:r>
            <w:r>
              <w:rPr>
                <w:rFonts w:hint="eastAsia" w:ascii="宋体" w:hAnsi="宋体" w:cs="宋体"/>
                <w:color w:val="000000"/>
                <w:sz w:val="20"/>
                <w:szCs w:val="20"/>
              </w:rPr>
              <w:t>、灯杆材质：采用全不锈钢，直径≧</w:t>
            </w:r>
            <w:r>
              <w:rPr>
                <w:rFonts w:hint="eastAsia" w:ascii="Geneva" w:hAnsi="Geneva" w:eastAsia="Geneva" w:cs="Geneva"/>
                <w:color w:val="000000"/>
                <w:sz w:val="20"/>
                <w:szCs w:val="20"/>
              </w:rPr>
              <w:t>60mm</w:t>
            </w:r>
            <w:r>
              <w:rPr>
                <w:rFonts w:hint="eastAsia" w:ascii="宋体" w:hAnsi="宋体" w:cs="宋体"/>
                <w:color w:val="000000"/>
                <w:sz w:val="20"/>
                <w:szCs w:val="20"/>
              </w:rPr>
              <w:t>，实际壁厚≧</w:t>
            </w:r>
            <w:r>
              <w:rPr>
                <w:rFonts w:hint="eastAsia" w:ascii="Geneva" w:hAnsi="Geneva" w:eastAsia="Geneva" w:cs="Geneva"/>
                <w:color w:val="000000"/>
                <w:sz w:val="20"/>
                <w:szCs w:val="20"/>
              </w:rPr>
              <w:t>1.1mm</w:t>
            </w:r>
            <w:r>
              <w:rPr>
                <w:rFonts w:hint="eastAsia" w:ascii="宋体" w:hAnsi="宋体" w:cs="宋体"/>
                <w:color w:val="000000"/>
                <w:sz w:val="20"/>
                <w:szCs w:val="20"/>
              </w:rPr>
              <w:t>，高度根据实际供货要求提供；</w:t>
            </w:r>
          </w:p>
          <w:p>
            <w:pPr>
              <w:jc w:val="left"/>
              <w:rPr>
                <w:rFonts w:hint="eastAsia" w:ascii="宋体" w:hAnsi="宋体" w:cs="宋体"/>
                <w:color w:val="000000"/>
                <w:sz w:val="20"/>
                <w:szCs w:val="20"/>
              </w:rPr>
            </w:pPr>
            <w:r>
              <w:rPr>
                <w:rFonts w:hint="eastAsia" w:ascii="宋体" w:hAnsi="宋体" w:cs="宋体"/>
                <w:color w:val="000000"/>
                <w:sz w:val="20"/>
                <w:szCs w:val="20"/>
              </w:rPr>
              <w:t>★</w:t>
            </w:r>
            <w:r>
              <w:rPr>
                <w:rFonts w:hint="eastAsia" w:ascii="Geneva" w:hAnsi="Geneva" w:eastAsia="Geneva" w:cs="Geneva"/>
                <w:color w:val="000000"/>
                <w:sz w:val="20"/>
                <w:szCs w:val="20"/>
              </w:rPr>
              <w:t>16</w:t>
            </w:r>
            <w:r>
              <w:rPr>
                <w:rFonts w:hint="eastAsia" w:ascii="宋体" w:hAnsi="宋体" w:cs="宋体"/>
                <w:color w:val="000000"/>
                <w:sz w:val="20"/>
                <w:szCs w:val="20"/>
              </w:rPr>
              <w:t>、清虫功能：内网为立式毛刷旋转清虫（毛刷材料必须阻燃）</w:t>
            </w:r>
            <w:r>
              <w:rPr>
                <w:rFonts w:hint="eastAsia" w:ascii="Geneva" w:hAnsi="Geneva" w:eastAsia="Geneva" w:cs="Geneva"/>
                <w:color w:val="000000"/>
                <w:sz w:val="20"/>
                <w:szCs w:val="20"/>
              </w:rPr>
              <w:t>1-30</w:t>
            </w:r>
            <w:r>
              <w:rPr>
                <w:rFonts w:hint="eastAsia" w:ascii="宋体" w:hAnsi="宋体" w:cs="宋体"/>
                <w:color w:val="000000"/>
                <w:sz w:val="20"/>
                <w:szCs w:val="20"/>
              </w:rPr>
              <w:t>分钟清虫一次（时间可设定），毛刷可按实际需求增加。</w:t>
            </w:r>
          </w:p>
          <w:p>
            <w:pPr>
              <w:jc w:val="left"/>
              <w:rPr>
                <w:color w:val="FF0000"/>
              </w:rPr>
            </w:pPr>
            <w:r>
              <w:rPr>
                <w:rFonts w:hint="eastAsia" w:ascii="宋体" w:hAnsi="宋体" w:cs="宋体"/>
                <w:color w:val="FF0000"/>
                <w:sz w:val="20"/>
                <w:szCs w:val="20"/>
              </w:rPr>
              <w:t>带★参数必须提供省级以上农业机械质量检测机构出具的检验报告复印件并加盖生产企业公章</w:t>
            </w:r>
            <w:r>
              <w:rPr>
                <w:rFonts w:hint="eastAsia" w:ascii="Geneva" w:hAnsi="Geneva" w:eastAsia="Geneva" w:cs="Geneva"/>
                <w:color w:val="FF0000"/>
                <w:sz w:val="20"/>
                <w:szCs w:val="20"/>
              </w:rPr>
              <w:t>,</w:t>
            </w:r>
            <w:r>
              <w:rPr>
                <w:rFonts w:hint="eastAsia" w:ascii="宋体" w:hAnsi="宋体" w:cs="宋体"/>
                <w:color w:val="FF0000"/>
                <w:sz w:val="20"/>
                <w:szCs w:val="20"/>
              </w:rPr>
              <w:t>中标企业提供原件备查。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pPr>
            <w:r>
              <w:rPr>
                <w:rFonts w:hint="eastAsia" w:ascii="宋体" w:hAnsi="宋体" w:cs="宋体"/>
                <w:color w:val="000000"/>
                <w:kern w:val="0"/>
                <w:sz w:val="20"/>
                <w:szCs w:val="20"/>
              </w:rPr>
              <w:t>捕食螨</w:t>
            </w:r>
          </w:p>
        </w:tc>
        <w:tc>
          <w:tcPr>
            <w:tcW w:w="8243" w:type="dxa"/>
            <w:vAlign w:val="center"/>
          </w:tcPr>
          <w:p>
            <w:pPr>
              <w:jc w:val="left"/>
              <w:rPr>
                <w:rFonts w:hint="eastAsia" w:ascii="宋体" w:hAnsi="宋体" w:cs="宋体"/>
                <w:color w:val="000000"/>
                <w:sz w:val="20"/>
                <w:szCs w:val="20"/>
              </w:rPr>
            </w:pPr>
            <w:r>
              <w:rPr>
                <w:rFonts w:hint="eastAsia" w:ascii="宋体" w:hAnsi="宋体" w:cs="宋体"/>
                <w:color w:val="000000"/>
                <w:sz w:val="20"/>
                <w:szCs w:val="20"/>
              </w:rPr>
              <w:t>1、3000头/袋以上；</w:t>
            </w:r>
          </w:p>
          <w:p>
            <w:pPr>
              <w:jc w:val="left"/>
              <w:rPr>
                <w:rFonts w:ascii="Geneva" w:hAnsi="Geneva" w:eastAsia="Geneva" w:cs="Geneva"/>
                <w:color w:val="000000"/>
                <w:sz w:val="20"/>
                <w:szCs w:val="20"/>
              </w:rPr>
            </w:pPr>
            <w:r>
              <w:rPr>
                <w:rFonts w:hint="eastAsia" w:ascii="宋体" w:hAnsi="宋体" w:cs="宋体"/>
                <w:color w:val="000000"/>
                <w:sz w:val="20"/>
                <w:szCs w:val="20"/>
              </w:rPr>
              <w:t>2、为抗药性巴氏新小绥螨，必须提供对橘园常用药剂甲氰菊酯和阿维菌素有抗药性，有相关药剂抗性的国家专利，同时提供抗药性捕食螨相关的省（市）级成果登记证书，复印件并加盖生产企业公章，中标企业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粘虫板</w:t>
            </w:r>
          </w:p>
        </w:tc>
        <w:tc>
          <w:tcPr>
            <w:tcW w:w="8243" w:type="dxa"/>
            <w:vAlign w:val="center"/>
          </w:tcPr>
          <w:p>
            <w:pPr>
              <w:widowControl/>
              <w:jc w:val="left"/>
              <w:textAlignment w:val="top"/>
              <w:rPr>
                <w:rFonts w:ascii="Geneva" w:hAnsi="Geneva" w:eastAsia="Geneva" w:cs="Geneva"/>
                <w:color w:val="000000"/>
                <w:sz w:val="20"/>
                <w:szCs w:val="20"/>
              </w:rPr>
            </w:pPr>
            <w:r>
              <w:rPr>
                <w:rFonts w:ascii="Geneva" w:hAnsi="Geneva" w:eastAsia="Geneva" w:cs="Geneva"/>
                <w:color w:val="000000"/>
                <w:sz w:val="20"/>
                <w:szCs w:val="20"/>
              </w:rPr>
              <w:t>1</w:t>
            </w:r>
            <w:r>
              <w:rPr>
                <w:rFonts w:hint="eastAsia" w:ascii="宋体" w:hAnsi="宋体" w:cs="宋体"/>
                <w:color w:val="000000"/>
                <w:sz w:val="20"/>
                <w:szCs w:val="20"/>
              </w:rPr>
              <w:t>、</w:t>
            </w:r>
            <w:r>
              <w:rPr>
                <w:rFonts w:ascii="Geneva" w:hAnsi="Geneva" w:eastAsia="Geneva" w:cs="Geneva"/>
                <w:color w:val="000000"/>
                <w:sz w:val="20"/>
                <w:szCs w:val="20"/>
              </w:rPr>
              <w:t xml:space="preserve"> </w:t>
            </w:r>
            <w:r>
              <w:rPr>
                <w:rFonts w:hint="eastAsia" w:ascii="宋体" w:hAnsi="宋体" w:cs="宋体"/>
                <w:color w:val="000000"/>
                <w:sz w:val="20"/>
                <w:szCs w:val="20"/>
              </w:rPr>
              <w:t>符合或优于国家标准</w:t>
            </w:r>
            <w:r>
              <w:rPr>
                <w:rFonts w:ascii="Geneva" w:hAnsi="Geneva" w:eastAsia="Geneva" w:cs="Geneva"/>
                <w:color w:val="000000"/>
                <w:sz w:val="20"/>
                <w:szCs w:val="20"/>
              </w:rPr>
              <w:t>GB/T24689.4-2009</w:t>
            </w:r>
            <w:r>
              <w:rPr>
                <w:rFonts w:hint="eastAsia" w:ascii="宋体" w:hAnsi="宋体" w:cs="宋体"/>
                <w:color w:val="000000"/>
                <w:sz w:val="20"/>
                <w:szCs w:val="20"/>
              </w:rPr>
              <w:t>要求</w:t>
            </w:r>
            <w:r>
              <w:rPr>
                <w:rFonts w:ascii="Geneva" w:hAnsi="Geneva" w:eastAsia="Geneva" w:cs="Geneva"/>
                <w:color w:val="000000"/>
                <w:sz w:val="20"/>
                <w:szCs w:val="20"/>
              </w:rPr>
              <w:t>(</w:t>
            </w:r>
            <w:r>
              <w:rPr>
                <w:rFonts w:hint="eastAsia" w:ascii="宋体" w:hAnsi="宋体" w:cs="宋体"/>
                <w:color w:val="000000"/>
                <w:sz w:val="20"/>
                <w:szCs w:val="20"/>
              </w:rPr>
              <w:t>提供国家农机具质量监督检验中心出具的检验报告复印件并加盖生产企业公章</w:t>
            </w:r>
            <w:r>
              <w:rPr>
                <w:rFonts w:ascii="Geneva" w:hAnsi="Geneva" w:eastAsia="Geneva" w:cs="Geneva"/>
                <w:color w:val="000000"/>
                <w:sz w:val="20"/>
                <w:szCs w:val="20"/>
              </w:rPr>
              <w:t>,</w:t>
            </w:r>
            <w:r>
              <w:rPr>
                <w:rFonts w:hint="eastAsia" w:ascii="宋体" w:hAnsi="宋体" w:cs="宋体"/>
                <w:color w:val="000000"/>
                <w:sz w:val="20"/>
                <w:szCs w:val="20"/>
              </w:rPr>
              <w:t>中标企业提供原件备查</w:t>
            </w:r>
            <w:r>
              <w:rPr>
                <w:rFonts w:ascii="Geneva" w:hAnsi="Geneva" w:eastAsia="Geneva" w:cs="Geneva"/>
                <w:color w:val="000000"/>
                <w:sz w:val="20"/>
                <w:szCs w:val="20"/>
              </w:rPr>
              <w:t>)</w:t>
            </w:r>
            <w:r>
              <w:rPr>
                <w:rFonts w:hint="eastAsia" w:ascii="宋体" w:hAnsi="宋体" w:cs="宋体"/>
                <w:color w:val="000000"/>
                <w:sz w:val="20"/>
                <w:szCs w:val="20"/>
              </w:rPr>
              <w:t>；</w:t>
            </w:r>
          </w:p>
          <w:p>
            <w:pPr>
              <w:widowControl/>
              <w:jc w:val="left"/>
              <w:textAlignment w:val="top"/>
              <w:rPr>
                <w:rFonts w:ascii="Geneva" w:hAnsi="Geneva" w:eastAsia="Geneva" w:cs="Geneva"/>
                <w:color w:val="000000"/>
                <w:sz w:val="20"/>
                <w:szCs w:val="20"/>
              </w:rPr>
            </w:pPr>
            <w:r>
              <w:rPr>
                <w:rFonts w:ascii="Geneva" w:hAnsi="Geneva" w:eastAsia="Geneva" w:cs="Geneva"/>
                <w:color w:val="000000"/>
                <w:sz w:val="20"/>
                <w:szCs w:val="20"/>
              </w:rPr>
              <w:t>2</w:t>
            </w:r>
            <w:r>
              <w:rPr>
                <w:rFonts w:hint="eastAsia" w:ascii="宋体" w:hAnsi="宋体" w:cs="宋体"/>
                <w:color w:val="000000"/>
                <w:sz w:val="20"/>
                <w:szCs w:val="20"/>
              </w:rPr>
              <w:t>、杀虫胶：无味、耐酸、耐碱、无毒、高温不流淌，抗日晒雨淋防水性好，黏度高，双面涂胶。</w:t>
            </w:r>
          </w:p>
          <w:p>
            <w:pPr>
              <w:widowControl/>
              <w:jc w:val="left"/>
              <w:textAlignment w:val="top"/>
              <w:rPr>
                <w:rFonts w:ascii="Geneva" w:hAnsi="Geneva" w:eastAsia="Geneva" w:cs="Geneva"/>
                <w:color w:val="000000"/>
                <w:sz w:val="20"/>
                <w:szCs w:val="20"/>
              </w:rPr>
            </w:pPr>
            <w:r>
              <w:rPr>
                <w:rFonts w:ascii="Geneva" w:hAnsi="Geneva" w:eastAsia="Geneva" w:cs="Geneva"/>
                <w:color w:val="000000"/>
                <w:sz w:val="20"/>
                <w:szCs w:val="20"/>
              </w:rPr>
              <w:t>3</w:t>
            </w:r>
            <w:r>
              <w:rPr>
                <w:rFonts w:hint="eastAsia" w:ascii="宋体" w:hAnsi="宋体" w:cs="宋体"/>
                <w:color w:val="000000"/>
                <w:sz w:val="20"/>
                <w:szCs w:val="20"/>
              </w:rPr>
              <w:t>、规格：</w:t>
            </w:r>
            <w:r>
              <w:rPr>
                <w:rFonts w:ascii="Geneva" w:hAnsi="Geneva" w:eastAsia="Geneva" w:cs="Geneva"/>
                <w:color w:val="000000"/>
                <w:sz w:val="20"/>
                <w:szCs w:val="20"/>
              </w:rPr>
              <w:t>25cm×20cm(±1cm)</w:t>
            </w:r>
            <w:r>
              <w:rPr>
                <w:rFonts w:hint="eastAsia" w:ascii="宋体" w:hAnsi="宋体" w:cs="宋体"/>
                <w:color w:val="000000"/>
                <w:sz w:val="20"/>
                <w:szCs w:val="20"/>
              </w:rPr>
              <w:t>；</w:t>
            </w:r>
          </w:p>
          <w:p>
            <w:pPr>
              <w:widowControl/>
              <w:jc w:val="left"/>
              <w:textAlignment w:val="top"/>
              <w:rPr>
                <w:rFonts w:ascii="Geneva" w:hAnsi="Geneva" w:eastAsia="Geneva" w:cs="Geneva"/>
                <w:color w:val="000000"/>
                <w:sz w:val="20"/>
                <w:szCs w:val="20"/>
              </w:rPr>
            </w:pPr>
            <w:r>
              <w:rPr>
                <w:rFonts w:ascii="Geneva" w:hAnsi="Geneva" w:eastAsia="Geneva" w:cs="Geneva"/>
                <w:color w:val="000000"/>
                <w:sz w:val="20"/>
                <w:szCs w:val="20"/>
              </w:rPr>
              <w:t>4</w:t>
            </w:r>
            <w:r>
              <w:rPr>
                <w:rFonts w:hint="eastAsia" w:ascii="宋体" w:hAnsi="宋体" w:cs="宋体"/>
                <w:color w:val="000000"/>
                <w:sz w:val="20"/>
                <w:szCs w:val="20"/>
              </w:rPr>
              <w:t>、基材：</w:t>
            </w:r>
            <w:r>
              <w:rPr>
                <w:rFonts w:ascii="Geneva" w:hAnsi="Geneva" w:eastAsia="Geneva" w:cs="Geneva"/>
                <w:color w:val="000000"/>
                <w:sz w:val="20"/>
                <w:szCs w:val="20"/>
              </w:rPr>
              <w:t>0.25mm</w:t>
            </w:r>
            <w:r>
              <w:rPr>
                <w:rFonts w:hint="eastAsia" w:ascii="宋体" w:hAnsi="宋体" w:cs="宋体"/>
                <w:color w:val="000000"/>
                <w:sz w:val="20"/>
                <w:szCs w:val="20"/>
              </w:rPr>
              <w:t>（</w:t>
            </w:r>
            <w:r>
              <w:rPr>
                <w:rFonts w:ascii="Geneva" w:hAnsi="Geneva" w:eastAsia="Geneva" w:cs="Geneva"/>
                <w:color w:val="000000"/>
                <w:sz w:val="20"/>
                <w:szCs w:val="20"/>
              </w:rPr>
              <w:t>±0.02mm</w:t>
            </w:r>
            <w:r>
              <w:rPr>
                <w:rFonts w:hint="eastAsia" w:ascii="宋体" w:hAnsi="宋体" w:cs="宋体"/>
                <w:color w:val="000000"/>
                <w:sz w:val="20"/>
                <w:szCs w:val="20"/>
              </w:rPr>
              <w:t>）降解板，长时间暴晒不卷曲，不易褪色，颜色为素馨黄光波</w:t>
            </w:r>
            <w:r>
              <w:rPr>
                <w:rFonts w:ascii="Geneva" w:hAnsi="Geneva" w:eastAsia="Geneva" w:cs="Geneva"/>
                <w:color w:val="000000"/>
                <w:sz w:val="20"/>
                <w:szCs w:val="20"/>
              </w:rPr>
              <w:t>&gt;570nm</w:t>
            </w:r>
            <w:r>
              <w:rPr>
                <w:rFonts w:hint="eastAsia" w:ascii="宋体" w:hAnsi="宋体" w:cs="宋体"/>
                <w:color w:val="000000"/>
                <w:sz w:val="20"/>
                <w:szCs w:val="20"/>
              </w:rPr>
              <w:t>，单面胶层厚度：</w:t>
            </w:r>
            <w:r>
              <w:rPr>
                <w:rFonts w:ascii="Geneva" w:hAnsi="Geneva" w:eastAsia="Geneva" w:cs="Geneva"/>
                <w:color w:val="000000"/>
                <w:sz w:val="20"/>
                <w:szCs w:val="20"/>
              </w:rPr>
              <w:t>&gt;0.04mm;</w:t>
            </w:r>
          </w:p>
          <w:p>
            <w:pPr>
              <w:widowControl/>
              <w:jc w:val="left"/>
              <w:textAlignment w:val="top"/>
              <w:rPr>
                <w:rFonts w:ascii="Geneva" w:hAnsi="Geneva" w:eastAsia="Geneva" w:cs="Geneva"/>
                <w:color w:val="000000"/>
                <w:sz w:val="20"/>
                <w:szCs w:val="20"/>
              </w:rPr>
            </w:pPr>
            <w:r>
              <w:rPr>
                <w:rFonts w:ascii="Geneva" w:hAnsi="Geneva" w:eastAsia="Geneva" w:cs="Geneva"/>
                <w:color w:val="000000"/>
                <w:sz w:val="20"/>
                <w:szCs w:val="20"/>
              </w:rPr>
              <w:t>5</w:t>
            </w:r>
            <w:r>
              <w:rPr>
                <w:rFonts w:hint="eastAsia" w:ascii="宋体" w:hAnsi="宋体" w:cs="宋体"/>
                <w:color w:val="000000"/>
                <w:sz w:val="20"/>
                <w:szCs w:val="20"/>
              </w:rPr>
              <w:t>、将</w:t>
            </w:r>
            <w:r>
              <w:rPr>
                <w:rFonts w:ascii="Geneva" w:hAnsi="Geneva" w:eastAsia="Geneva" w:cs="Geneva"/>
                <w:color w:val="000000"/>
                <w:sz w:val="20"/>
                <w:szCs w:val="20"/>
              </w:rPr>
              <w:t>5g</w:t>
            </w:r>
            <w:r>
              <w:rPr>
                <w:rFonts w:hint="eastAsia" w:ascii="宋体" w:hAnsi="宋体" w:cs="宋体"/>
                <w:color w:val="000000"/>
                <w:sz w:val="20"/>
                <w:szCs w:val="20"/>
              </w:rPr>
              <w:t>砝码粘接于诱虫板，将诱虫板水平提起，砝码垂直向下，</w:t>
            </w:r>
            <w:r>
              <w:rPr>
                <w:rFonts w:ascii="Geneva" w:hAnsi="Geneva" w:eastAsia="Geneva" w:cs="Geneva"/>
                <w:color w:val="000000"/>
                <w:sz w:val="20"/>
                <w:szCs w:val="20"/>
              </w:rPr>
              <w:t>5min</w:t>
            </w:r>
            <w:r>
              <w:rPr>
                <w:rFonts w:hint="eastAsia" w:ascii="宋体" w:hAnsi="宋体" w:cs="宋体"/>
                <w:color w:val="000000"/>
                <w:sz w:val="20"/>
                <w:szCs w:val="20"/>
              </w:rPr>
              <w:t>内不得自由脱落，胶体层厚度为</w:t>
            </w:r>
            <w:r>
              <w:rPr>
                <w:rFonts w:ascii="Geneva" w:hAnsi="Geneva" w:eastAsia="Geneva" w:cs="Geneva"/>
                <w:color w:val="000000"/>
                <w:sz w:val="20"/>
                <w:szCs w:val="20"/>
              </w:rPr>
              <w:t>0.03~0.05mm</w:t>
            </w:r>
            <w:r>
              <w:rPr>
                <w:rFonts w:hint="eastAsia" w:ascii="宋体" w:hAnsi="宋体" w:cs="宋体"/>
                <w:color w:val="000000"/>
                <w:sz w:val="20"/>
                <w:szCs w:val="20"/>
              </w:rPr>
              <w:t>；</w:t>
            </w:r>
          </w:p>
          <w:p>
            <w:pPr>
              <w:widowControl/>
              <w:jc w:val="left"/>
              <w:textAlignment w:val="top"/>
              <w:rPr>
                <w:rFonts w:ascii="Geneva" w:hAnsi="Geneva" w:eastAsia="Geneva" w:cs="Geneva"/>
                <w:color w:val="000000"/>
                <w:sz w:val="20"/>
                <w:szCs w:val="20"/>
              </w:rPr>
            </w:pPr>
            <w:r>
              <w:rPr>
                <w:rFonts w:ascii="Geneva" w:hAnsi="Geneva" w:eastAsia="Geneva" w:cs="Geneva"/>
                <w:color w:val="000000"/>
                <w:sz w:val="20"/>
                <w:szCs w:val="20"/>
              </w:rPr>
              <w:t>6</w:t>
            </w:r>
            <w:r>
              <w:rPr>
                <w:rFonts w:hint="eastAsia" w:ascii="宋体" w:hAnsi="宋体" w:cs="宋体"/>
                <w:color w:val="000000"/>
                <w:sz w:val="20"/>
                <w:szCs w:val="20"/>
              </w:rPr>
              <w:t>、在温度</w:t>
            </w:r>
            <w:r>
              <w:rPr>
                <w:rFonts w:ascii="Geneva" w:hAnsi="Geneva" w:eastAsia="Geneva" w:cs="Geneva"/>
                <w:color w:val="000000"/>
                <w:sz w:val="20"/>
                <w:szCs w:val="20"/>
              </w:rPr>
              <w:t>10</w:t>
            </w:r>
            <w:r>
              <w:rPr>
                <w:rFonts w:hint="eastAsia" w:ascii="宋体" w:hAnsi="宋体" w:cs="宋体"/>
                <w:color w:val="000000"/>
                <w:sz w:val="20"/>
                <w:szCs w:val="20"/>
              </w:rPr>
              <w:t>℃</w:t>
            </w:r>
            <w:r>
              <w:rPr>
                <w:rFonts w:ascii="Arial" w:hAnsi="Arial" w:eastAsia="Geneva" w:cs="Arial"/>
                <w:color w:val="000000"/>
                <w:sz w:val="20"/>
                <w:szCs w:val="20"/>
              </w:rPr>
              <w:t>~70</w:t>
            </w:r>
            <w:r>
              <w:rPr>
                <w:rFonts w:hint="eastAsia" w:ascii="宋体" w:hAnsi="宋体" w:cs="宋体"/>
                <w:color w:val="000000"/>
                <w:sz w:val="20"/>
                <w:szCs w:val="20"/>
              </w:rPr>
              <w:t>℃的环境中基板无明显变形，胶体不流</w:t>
            </w:r>
            <w:r>
              <w:rPr>
                <w:rFonts w:ascii="Geneva" w:hAnsi="Geneva" w:eastAsia="Geneva" w:cs="Geneva"/>
                <w:color w:val="000000"/>
                <w:sz w:val="20"/>
                <w:szCs w:val="20"/>
              </w:rPr>
              <w:t>(</w:t>
            </w:r>
            <w:r>
              <w:rPr>
                <w:rFonts w:hint="eastAsia" w:ascii="宋体" w:hAnsi="宋体" w:cs="宋体"/>
                <w:color w:val="000000"/>
                <w:sz w:val="20"/>
                <w:szCs w:val="20"/>
              </w:rPr>
              <w:t>硬</w:t>
            </w:r>
            <w:r>
              <w:rPr>
                <w:rFonts w:ascii="Geneva" w:hAnsi="Geneva" w:eastAsia="Geneva" w:cs="Geneva"/>
                <w:color w:val="000000"/>
                <w:sz w:val="20"/>
                <w:szCs w:val="20"/>
              </w:rPr>
              <w:t>)</w:t>
            </w:r>
            <w:r>
              <w:rPr>
                <w:rFonts w:hint="eastAsia" w:ascii="宋体" w:hAnsi="宋体" w:cs="宋体"/>
                <w:color w:val="000000"/>
                <w:sz w:val="20"/>
                <w:szCs w:val="20"/>
              </w:rPr>
              <w:t>化、遇水不溶解。</w:t>
            </w:r>
          </w:p>
          <w:p>
            <w:pPr>
              <w:jc w:val="left"/>
              <w:rPr>
                <w:rFonts w:ascii="宋体" w:hAnsi="宋体" w:cs="宋体"/>
                <w:color w:val="000000"/>
                <w:sz w:val="20"/>
                <w:szCs w:val="20"/>
              </w:rPr>
            </w:pPr>
            <w:r>
              <w:rPr>
                <w:rFonts w:ascii="Geneva" w:hAnsi="Geneva" w:eastAsia="Geneva" w:cs="Geneva"/>
                <w:color w:val="000000"/>
                <w:sz w:val="20"/>
                <w:szCs w:val="20"/>
              </w:rPr>
              <w:t>7</w:t>
            </w:r>
            <w:r>
              <w:rPr>
                <w:rFonts w:hint="eastAsia" w:ascii="宋体" w:hAnsi="宋体" w:cs="宋体"/>
                <w:color w:val="000000"/>
                <w:sz w:val="20"/>
                <w:szCs w:val="20"/>
              </w:rPr>
              <w:t>、生物降解后质量失重率（</w:t>
            </w:r>
            <w:r>
              <w:rPr>
                <w:rFonts w:ascii="Geneva" w:hAnsi="Geneva" w:eastAsia="Geneva" w:cs="Geneva"/>
                <w:color w:val="000000"/>
                <w:sz w:val="20"/>
                <w:szCs w:val="20"/>
              </w:rPr>
              <w:t>28d</w:t>
            </w:r>
            <w:r>
              <w:rPr>
                <w:rFonts w:hint="eastAsia" w:ascii="宋体" w:hAnsi="宋体" w:cs="宋体"/>
                <w:color w:val="000000"/>
                <w:sz w:val="20"/>
                <w:szCs w:val="20"/>
              </w:rPr>
              <w:t>）</w:t>
            </w:r>
            <w:r>
              <w:rPr>
                <w:rFonts w:ascii="Geneva" w:hAnsi="Geneva" w:eastAsia="Geneva" w:cs="Geneva"/>
                <w:color w:val="000000"/>
                <w:sz w:val="20"/>
                <w:szCs w:val="20"/>
              </w:rPr>
              <w:t>&gt;13%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石硫合剂</w:t>
            </w:r>
          </w:p>
        </w:tc>
        <w:tc>
          <w:tcPr>
            <w:tcW w:w="8243" w:type="dxa"/>
            <w:vAlign w:val="center"/>
          </w:tcPr>
          <w:p>
            <w:pPr>
              <w:widowControl/>
              <w:jc w:val="left"/>
              <w:textAlignment w:val="top"/>
              <w:rPr>
                <w:rFonts w:hint="eastAsia" w:ascii="Geneva" w:hAnsi="Geneva" w:cs="Geneva"/>
                <w:color w:val="000000"/>
                <w:sz w:val="20"/>
                <w:szCs w:val="20"/>
              </w:rPr>
            </w:pPr>
            <w:r>
              <w:rPr>
                <w:rFonts w:hint="eastAsia" w:ascii="Geneva" w:hAnsi="Geneva" w:cs="Geneva"/>
                <w:color w:val="000000"/>
                <w:sz w:val="20"/>
                <w:szCs w:val="20"/>
              </w:rPr>
              <w:t>含量：45%   包装规格：400克/袋  剂型：晶粉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三叶草</w:t>
            </w:r>
          </w:p>
        </w:tc>
        <w:tc>
          <w:tcPr>
            <w:tcW w:w="8243" w:type="dxa"/>
            <w:vAlign w:val="center"/>
          </w:tcPr>
          <w:p>
            <w:pPr>
              <w:spacing w:line="400" w:lineRule="exact"/>
              <w:jc w:val="left"/>
              <w:outlineLvl w:val="2"/>
              <w:rPr>
                <w:rFonts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白三叶，种子发芽率：≥85%；种子净度：≥98%；水份：</w:t>
            </w:r>
            <w:r>
              <w:rPr>
                <w:rFonts w:hint="eastAsia" w:asciiTheme="minorEastAsia" w:hAnsiTheme="minorEastAsia"/>
                <w:sz w:val="20"/>
                <w:szCs w:val="20"/>
              </w:rPr>
              <w:t>≤</w:t>
            </w:r>
            <w:r>
              <w:rPr>
                <w:rFonts w:hint="eastAsia" w:asciiTheme="majorEastAsia" w:hAnsiTheme="majorEastAsia" w:eastAsiaTheme="majorEastAsia"/>
                <w:color w:val="000000"/>
                <w:sz w:val="20"/>
                <w:szCs w:val="20"/>
              </w:rPr>
              <w:t>13%；</w:t>
            </w:r>
          </w:p>
          <w:p>
            <w:pPr>
              <w:spacing w:line="400" w:lineRule="exact"/>
              <w:ind w:firstLine="400" w:firstLineChars="200"/>
              <w:jc w:val="left"/>
              <w:outlineLvl w:val="2"/>
              <w:rPr>
                <w:rFonts w:hint="eastAsia" w:ascii="Geneva" w:hAnsi="Geneva" w:cs="Genev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苕子</w:t>
            </w:r>
          </w:p>
        </w:tc>
        <w:tc>
          <w:tcPr>
            <w:tcW w:w="8243" w:type="dxa"/>
            <w:vAlign w:val="center"/>
          </w:tcPr>
          <w:p>
            <w:pPr>
              <w:spacing w:line="400" w:lineRule="exact"/>
              <w:jc w:val="left"/>
              <w:outlineLvl w:val="2"/>
              <w:rPr>
                <w:rFonts w:asciiTheme="majorEastAsia" w:hAnsiTheme="majorEastAsia" w:eastAsiaTheme="majorEastAsia"/>
                <w:color w:val="000000"/>
                <w:sz w:val="20"/>
                <w:szCs w:val="20"/>
              </w:rPr>
            </w:pPr>
            <w:r>
              <w:rPr>
                <w:rFonts w:hint="eastAsia" w:asciiTheme="minorEastAsia" w:hAnsiTheme="minorEastAsia"/>
                <w:sz w:val="20"/>
                <w:szCs w:val="20"/>
              </w:rPr>
              <w:t>光叶紫花苕,</w:t>
            </w:r>
            <w:r>
              <w:rPr>
                <w:rFonts w:hint="eastAsia" w:asciiTheme="majorEastAsia" w:hAnsiTheme="majorEastAsia" w:eastAsiaTheme="majorEastAsia"/>
                <w:color w:val="000000"/>
                <w:sz w:val="20"/>
                <w:szCs w:val="20"/>
              </w:rPr>
              <w:t xml:space="preserve"> 种子净度：≥98%；种子发芽率：≥80%；水份：</w:t>
            </w:r>
            <w:r>
              <w:rPr>
                <w:rFonts w:hint="eastAsia" w:asciiTheme="minorEastAsia" w:hAnsiTheme="minorEastAsia"/>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紫花苜蓿</w:t>
            </w:r>
          </w:p>
        </w:tc>
        <w:tc>
          <w:tcPr>
            <w:tcW w:w="8243" w:type="dxa"/>
            <w:vAlign w:val="center"/>
          </w:tcPr>
          <w:p>
            <w:pPr>
              <w:spacing w:line="400" w:lineRule="exact"/>
              <w:jc w:val="left"/>
              <w:outlineLvl w:val="2"/>
              <w:rPr>
                <w:rFonts w:asciiTheme="minorEastAsia" w:hAnsiTheme="minorEastAsia"/>
                <w:sz w:val="20"/>
                <w:szCs w:val="20"/>
              </w:rPr>
            </w:pPr>
            <w:r>
              <w:rPr>
                <w:rFonts w:hint="eastAsia" w:asciiTheme="majorEastAsia" w:hAnsiTheme="majorEastAsia" w:eastAsiaTheme="majorEastAsia"/>
                <w:color w:val="000000"/>
                <w:sz w:val="20"/>
                <w:szCs w:val="20"/>
              </w:rPr>
              <w:t>种子发芽率：≥85%；种子净度：≥98%；水份：</w:t>
            </w:r>
            <w:r>
              <w:rPr>
                <w:rFonts w:hint="eastAsia" w:asciiTheme="minorEastAsia" w:hAnsiTheme="minorEastAsia"/>
                <w:sz w:val="20"/>
                <w:szCs w:val="20"/>
              </w:rPr>
              <w:t>≤</w:t>
            </w:r>
            <w:r>
              <w:rPr>
                <w:rFonts w:hint="eastAsia" w:asciiTheme="majorEastAsia" w:hAnsiTheme="majorEastAsia" w:eastAsiaTheme="majorEastAsia"/>
                <w:color w:val="000000"/>
                <w:sz w:val="20"/>
                <w:szCs w:val="20"/>
              </w:rPr>
              <w:t>13%；</w:t>
            </w:r>
          </w:p>
        </w:tc>
      </w:tr>
    </w:tbl>
    <w:p>
      <w:pPr>
        <w:pStyle w:val="277"/>
        <w:numPr>
          <w:ilvl w:val="0"/>
          <w:numId w:val="2"/>
        </w:numPr>
        <w:spacing w:line="360" w:lineRule="auto"/>
        <w:ind w:firstLineChars="0"/>
        <w:rPr>
          <w:rFonts w:ascii="宋体" w:hAnsi="宋体" w:cs="宋体"/>
          <w:b/>
          <w:bCs/>
          <w:kern w:val="0"/>
          <w:sz w:val="44"/>
          <w:szCs w:val="44"/>
        </w:rPr>
        <w:sectPr>
          <w:headerReference r:id="rId6" w:type="default"/>
          <w:footerReference r:id="rId7" w:type="default"/>
          <w:pgSz w:w="11906" w:h="16838"/>
          <w:pgMar w:top="1134" w:right="1191" w:bottom="1134" w:left="1304" w:header="851" w:footer="992" w:gutter="0"/>
          <w:pgNumType w:fmt="numberInDash"/>
          <w:cols w:space="0" w:num="1"/>
          <w:docGrid w:linePitch="381" w:charSpace="0"/>
        </w:sectPr>
      </w:pPr>
      <w:r>
        <w:rPr>
          <w:rFonts w:hint="eastAsia" w:ascii="宋体" w:hAnsi="宋体" w:cs="宋体"/>
          <w:b/>
          <w:bCs/>
          <w:kern w:val="0"/>
          <w:sz w:val="44"/>
          <w:szCs w:val="44"/>
        </w:rPr>
        <w:br w:type="page"/>
      </w:r>
    </w:p>
    <w:p>
      <w:pPr>
        <w:pStyle w:val="5"/>
        <w:spacing w:before="0" w:after="0" w:line="360" w:lineRule="auto"/>
        <w:jc w:val="center"/>
        <w:rPr>
          <w:rFonts w:hint="eastAsia" w:ascii="宋体" w:hAnsi="宋体" w:eastAsia="宋体" w:cs="宋体"/>
          <w:sz w:val="44"/>
          <w:szCs w:val="44"/>
        </w:rPr>
      </w:pPr>
      <w:bookmarkStart w:id="142" w:name="_Toc16302"/>
      <w:r>
        <w:rPr>
          <w:rFonts w:hint="eastAsia" w:ascii="宋体" w:hAnsi="宋体" w:eastAsia="宋体" w:cs="宋体"/>
          <w:sz w:val="44"/>
          <w:szCs w:val="44"/>
        </w:rPr>
        <w:t>第四篇 询价项目商务需求</w:t>
      </w:r>
      <w:bookmarkEnd w:id="142"/>
    </w:p>
    <w:p>
      <w:pPr>
        <w:pStyle w:val="6"/>
        <w:spacing w:before="0" w:after="0" w:line="360" w:lineRule="auto"/>
        <w:rPr>
          <w:rFonts w:ascii="宋体" w:hAnsi="宋体" w:cs="宋体"/>
          <w:sz w:val="21"/>
          <w:szCs w:val="21"/>
        </w:rPr>
      </w:pPr>
      <w:bookmarkStart w:id="143" w:name="_Toc1325"/>
      <w:r>
        <w:rPr>
          <w:rFonts w:hint="eastAsia" w:ascii="宋体" w:hAnsi="宋体" w:cs="宋体"/>
          <w:sz w:val="21"/>
          <w:szCs w:val="21"/>
        </w:rPr>
        <w:t>一、交货时间、地点及验收方式</w:t>
      </w:r>
      <w:bookmarkEnd w:id="143"/>
    </w:p>
    <w:bookmarkEnd w:id="137"/>
    <w:bookmarkEnd w:id="138"/>
    <w:bookmarkEnd w:id="139"/>
    <w:bookmarkEnd w:id="140"/>
    <w:p>
      <w:pPr>
        <w:widowControl/>
        <w:spacing w:line="360" w:lineRule="auto"/>
        <w:ind w:firstLine="363"/>
        <w:rPr>
          <w:rFonts w:ascii="宋体" w:hAnsi="宋体" w:cs="宋体"/>
          <w:kern w:val="0"/>
          <w:sz w:val="21"/>
          <w:szCs w:val="21"/>
          <w:highlight w:val="none"/>
          <w:u w:val="none"/>
        </w:rPr>
      </w:pPr>
      <w:bookmarkStart w:id="144" w:name="_Toc529376994"/>
      <w:bookmarkStart w:id="145" w:name="_Toc493506291"/>
      <w:bookmarkStart w:id="146" w:name="_Toc267320050"/>
      <w:bookmarkStart w:id="147" w:name="_Toc12789072"/>
      <w:bookmarkStart w:id="148" w:name="_Toc487204796"/>
      <w:r>
        <w:rPr>
          <w:rFonts w:hint="eastAsia" w:ascii="宋体" w:hAnsi="宋体" w:cs="宋体"/>
          <w:kern w:val="0"/>
          <w:sz w:val="21"/>
          <w:szCs w:val="21"/>
        </w:rPr>
        <w:t>（一）交货时间：</w:t>
      </w:r>
      <w:r>
        <w:rPr>
          <w:rFonts w:hint="eastAsia" w:ascii="宋体" w:hAnsi="宋体" w:cs="宋体"/>
          <w:kern w:val="0"/>
          <w:sz w:val="21"/>
          <w:szCs w:val="21"/>
          <w:highlight w:val="none"/>
          <w:u w:val="none"/>
        </w:rPr>
        <w:t>中标人应在采购合同签订之日起</w:t>
      </w:r>
      <w:r>
        <w:rPr>
          <w:rFonts w:hint="eastAsia" w:ascii="宋体" w:hAnsi="宋体" w:cs="宋体"/>
          <w:kern w:val="0"/>
          <w:sz w:val="21"/>
          <w:szCs w:val="21"/>
          <w:highlight w:val="none"/>
          <w:u w:val="none"/>
          <w:lang w:val="en-US" w:eastAsia="zh-CN"/>
        </w:rPr>
        <w:t>30</w:t>
      </w:r>
      <w:r>
        <w:rPr>
          <w:rFonts w:hint="eastAsia" w:ascii="宋体" w:hAnsi="宋体" w:cs="宋体"/>
          <w:kern w:val="0"/>
          <w:sz w:val="21"/>
          <w:szCs w:val="21"/>
          <w:highlight w:val="none"/>
          <w:u w:val="none"/>
        </w:rPr>
        <w:t>个日历日内送达采购人指定地点。</w:t>
      </w:r>
    </w:p>
    <w:p>
      <w:pPr>
        <w:widowControl/>
        <w:spacing w:line="360" w:lineRule="auto"/>
        <w:ind w:firstLine="363"/>
        <w:rPr>
          <w:rFonts w:ascii="宋体" w:hAnsi="宋体" w:cs="宋体"/>
          <w:kern w:val="0"/>
          <w:sz w:val="21"/>
          <w:szCs w:val="21"/>
          <w:highlight w:val="none"/>
          <w:u w:val="single"/>
        </w:rPr>
      </w:pPr>
      <w:r>
        <w:rPr>
          <w:rFonts w:hint="eastAsia" w:ascii="宋体" w:hAnsi="宋体" w:cs="宋体"/>
          <w:kern w:val="0"/>
          <w:sz w:val="21"/>
          <w:szCs w:val="21"/>
          <w:highlight w:val="none"/>
        </w:rPr>
        <w:t>（二）交货地点：以采购人指定地点为</w:t>
      </w:r>
      <w:r>
        <w:rPr>
          <w:rFonts w:hint="eastAsia" w:ascii="宋体" w:hAnsi="宋体" w:cs="宋体"/>
          <w:kern w:val="0"/>
          <w:sz w:val="21"/>
          <w:szCs w:val="21"/>
          <w:highlight w:val="none"/>
          <w:u w:val="none"/>
        </w:rPr>
        <w:t>准。</w:t>
      </w:r>
    </w:p>
    <w:p>
      <w:pPr>
        <w:widowControl/>
        <w:spacing w:line="360" w:lineRule="auto"/>
        <w:ind w:firstLine="363"/>
        <w:rPr>
          <w:rFonts w:ascii="宋体" w:hAnsi="宋体" w:cs="宋体"/>
          <w:sz w:val="21"/>
          <w:szCs w:val="21"/>
        </w:rPr>
      </w:pPr>
      <w:r>
        <w:rPr>
          <w:rFonts w:hint="eastAsia" w:ascii="宋体" w:hAnsi="宋体" w:cs="宋体"/>
          <w:sz w:val="21"/>
          <w:szCs w:val="21"/>
        </w:rPr>
        <w:t xml:space="preserve"> </w:t>
      </w:r>
      <w:r>
        <w:rPr>
          <w:rFonts w:hint="eastAsia" w:ascii="宋体" w:hAnsi="宋体" w:cs="宋体"/>
          <w:kern w:val="0"/>
          <w:sz w:val="21"/>
          <w:szCs w:val="21"/>
        </w:rPr>
        <w:t>备注：采购人在供应商签订合同时提供收货单位的联系人及电话</w:t>
      </w:r>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（三）验收方式</w:t>
      </w:r>
    </w:p>
    <w:p>
      <w:pPr>
        <w:widowControl/>
        <w:spacing w:line="360" w:lineRule="auto"/>
        <w:ind w:firstLine="363"/>
        <w:rPr>
          <w:rFonts w:hint="eastAsia" w:ascii="宋体" w:hAnsi="宋体" w:cs="宋体"/>
          <w:kern w:val="0"/>
          <w:sz w:val="21"/>
          <w:szCs w:val="21"/>
          <w:lang w:val="en-US" w:eastAsia="zh-CN"/>
        </w:rPr>
      </w:pPr>
      <w:r>
        <w:rPr>
          <w:rFonts w:hint="eastAsia" w:ascii="宋体" w:hAnsi="宋体" w:cs="宋体"/>
          <w:kern w:val="0"/>
          <w:sz w:val="21"/>
          <w:szCs w:val="21"/>
          <w:lang w:val="en-US" w:eastAsia="zh-CN"/>
        </w:rPr>
        <w:t>采取现场验货的方式，对产品数量、包装、产品合格证、说明书进行现场查检验收，采购人以收货人收货确认单为准。</w:t>
      </w:r>
    </w:p>
    <w:p>
      <w:pPr>
        <w:pStyle w:val="6"/>
        <w:spacing w:before="0" w:after="0" w:line="360" w:lineRule="auto"/>
        <w:rPr>
          <w:rFonts w:ascii="宋体" w:hAnsi="宋体" w:cs="宋体"/>
          <w:sz w:val="21"/>
          <w:szCs w:val="21"/>
        </w:rPr>
      </w:pPr>
      <w:bookmarkStart w:id="149" w:name="_Toc12797"/>
      <w:r>
        <w:rPr>
          <w:rFonts w:hint="eastAsia" w:ascii="宋体" w:hAnsi="宋体" w:cs="宋体"/>
          <w:sz w:val="21"/>
          <w:szCs w:val="21"/>
        </w:rPr>
        <w:t>二、报价要求</w:t>
      </w:r>
      <w:bookmarkEnd w:id="144"/>
      <w:bookmarkEnd w:id="145"/>
      <w:bookmarkEnd w:id="149"/>
      <w:bookmarkStart w:id="150" w:name="_Toc493506292"/>
    </w:p>
    <w:p>
      <w:pPr>
        <w:pStyle w:val="3"/>
        <w:adjustRightInd w:val="0"/>
        <w:snapToGrid w:val="0"/>
        <w:spacing w:line="360" w:lineRule="auto"/>
        <w:ind w:left="0" w:firstLine="420" w:firstLineChars="200"/>
        <w:rPr>
          <w:rFonts w:ascii="宋体" w:hAnsi="宋体" w:cs="宋体"/>
          <w:sz w:val="21"/>
          <w:szCs w:val="21"/>
        </w:rPr>
      </w:pPr>
      <w:bookmarkStart w:id="151" w:name="_Toc529376995"/>
      <w:r>
        <w:rPr>
          <w:rFonts w:hint="eastAsia" w:ascii="宋体" w:hAnsi="宋体" w:cs="宋体"/>
          <w:sz w:val="21"/>
          <w:szCs w:val="21"/>
        </w:rPr>
        <w:t>供应商的报价为人民币一次性报价，含产品购置费、运输费、安装费、调试费、售后服务费，转运费以及其它一切税费。供应商的报价超过限价的无效。</w:t>
      </w:r>
    </w:p>
    <w:p>
      <w:pPr>
        <w:pStyle w:val="6"/>
        <w:spacing w:before="0" w:after="0" w:line="360" w:lineRule="auto"/>
        <w:rPr>
          <w:rFonts w:ascii="宋体" w:hAnsi="宋体" w:cs="宋体"/>
          <w:sz w:val="21"/>
          <w:szCs w:val="21"/>
        </w:rPr>
      </w:pPr>
      <w:bookmarkStart w:id="152" w:name="_Toc24910"/>
      <w:r>
        <w:rPr>
          <w:rFonts w:hint="eastAsia" w:ascii="宋体" w:hAnsi="宋体" w:cs="宋体"/>
          <w:sz w:val="21"/>
          <w:szCs w:val="21"/>
        </w:rPr>
        <w:t>三、质量保证及售后服务</w:t>
      </w:r>
      <w:bookmarkEnd w:id="146"/>
      <w:bookmarkEnd w:id="150"/>
      <w:bookmarkEnd w:id="151"/>
      <w:bookmarkEnd w:id="152"/>
    </w:p>
    <w:p>
      <w:pPr>
        <w:snapToGrid w:val="0"/>
        <w:spacing w:line="400" w:lineRule="exact"/>
        <w:ind w:firstLine="420" w:firstLineChars="200"/>
        <w:rPr>
          <w:rFonts w:ascii="宋体" w:hAnsi="宋体" w:cs="宋体"/>
          <w:sz w:val="21"/>
          <w:szCs w:val="21"/>
        </w:rPr>
      </w:pPr>
      <w:bookmarkStart w:id="153" w:name="_Toc267320051"/>
      <w:bookmarkStart w:id="154" w:name="_Toc493506293"/>
      <w:bookmarkStart w:id="155" w:name="_Toc529376996"/>
      <w:r>
        <w:rPr>
          <w:rFonts w:hint="eastAsia" w:ascii="宋体" w:hAnsi="宋体" w:cs="宋体"/>
          <w:sz w:val="21"/>
          <w:szCs w:val="21"/>
        </w:rPr>
        <w:t>（一）产品质量保证期</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1、供应商应明确承诺：其</w:t>
      </w:r>
      <w:r>
        <w:rPr>
          <w:rFonts w:hint="eastAsia" w:ascii="宋体" w:hAnsi="宋体" w:cs="宋体"/>
          <w:sz w:val="21"/>
          <w:szCs w:val="21"/>
          <w:lang w:val="en-US" w:eastAsia="zh-CN"/>
        </w:rPr>
        <w:t>提供</w:t>
      </w:r>
      <w:r>
        <w:rPr>
          <w:rFonts w:hint="eastAsia" w:ascii="宋体" w:hAnsi="宋体" w:cs="宋体"/>
          <w:sz w:val="21"/>
          <w:szCs w:val="21"/>
        </w:rPr>
        <w:t>产品质量保证期自最终验收之日起后</w:t>
      </w:r>
      <w:r>
        <w:rPr>
          <w:rFonts w:hint="eastAsia" w:ascii="宋体" w:hAnsi="宋体" w:cs="宋体"/>
          <w:sz w:val="21"/>
          <w:szCs w:val="21"/>
          <w:u w:val="single"/>
        </w:rPr>
        <w:t>　二　</w:t>
      </w:r>
      <w:r>
        <w:rPr>
          <w:rFonts w:hint="eastAsia" w:ascii="宋体" w:hAnsi="宋体" w:cs="宋体"/>
          <w:sz w:val="21"/>
          <w:szCs w:val="21"/>
        </w:rPr>
        <w:t>年。</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2、</w:t>
      </w:r>
      <w:r>
        <w:rPr>
          <w:rFonts w:hint="eastAsia" w:ascii="宋体" w:hAnsi="宋体" w:cs="宋体"/>
          <w:sz w:val="21"/>
          <w:szCs w:val="21"/>
          <w:lang w:val="en-US" w:eastAsia="zh-CN"/>
        </w:rPr>
        <w:t>提供</w:t>
      </w:r>
      <w:r>
        <w:rPr>
          <w:rFonts w:hint="eastAsia" w:ascii="宋体" w:hAnsi="宋体" w:cs="宋体"/>
          <w:sz w:val="21"/>
          <w:szCs w:val="21"/>
        </w:rPr>
        <w:t>产品属于国家规定“三包”范围的，其产品质量保证期不得低于“三包”规定。</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3、供应商的质量保证期承诺优于国家“三包”规定的，按供应商实际承诺执行。</w:t>
      </w:r>
    </w:p>
    <w:p>
      <w:pPr>
        <w:snapToGrid w:val="0"/>
        <w:spacing w:line="400" w:lineRule="exact"/>
        <w:ind w:firstLine="420" w:firstLineChars="200"/>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en-US" w:eastAsia="zh-CN"/>
        </w:rPr>
        <w:t>提供</w:t>
      </w:r>
      <w:r>
        <w:rPr>
          <w:rFonts w:hint="eastAsia" w:ascii="宋体" w:hAnsi="宋体" w:cs="宋体"/>
          <w:sz w:val="21"/>
          <w:szCs w:val="21"/>
        </w:rPr>
        <w:t>产品由制造商（指产品生产制造商，或其负责销售、售后服务机构，以下同）负责标准售后服务的，应当在</w:t>
      </w:r>
      <w:r>
        <w:rPr>
          <w:rFonts w:hint="eastAsia" w:ascii="宋体" w:hAnsi="宋体" w:cs="宋体"/>
          <w:sz w:val="21"/>
          <w:szCs w:val="21"/>
          <w:lang w:val="en-US" w:eastAsia="zh-CN"/>
        </w:rPr>
        <w:t>响应</w:t>
      </w:r>
      <w:r>
        <w:rPr>
          <w:rFonts w:hint="eastAsia" w:ascii="宋体" w:hAnsi="宋体" w:cs="宋体"/>
          <w:sz w:val="21"/>
          <w:szCs w:val="21"/>
        </w:rPr>
        <w:t>文件中予以明确说明,并附制造商售后服务承诺。</w:t>
      </w:r>
    </w:p>
    <w:p>
      <w:pPr>
        <w:snapToGrid w:val="0"/>
        <w:spacing w:line="400" w:lineRule="exact"/>
        <w:ind w:firstLine="420" w:firstLineChars="200"/>
        <w:rPr>
          <w:rFonts w:ascii="宋体" w:hAnsi="宋体" w:cs="宋体"/>
          <w:sz w:val="21"/>
          <w:szCs w:val="21"/>
        </w:rPr>
      </w:pPr>
      <w:r>
        <w:rPr>
          <w:rFonts w:hint="eastAsia" w:ascii="宋体" w:hAnsi="宋体" w:cs="宋体"/>
          <w:kern w:val="0"/>
          <w:sz w:val="21"/>
          <w:szCs w:val="21"/>
        </w:rPr>
        <w:t>（二）</w:t>
      </w:r>
      <w:r>
        <w:rPr>
          <w:rFonts w:hint="eastAsia" w:ascii="宋体" w:hAnsi="宋体" w:cs="宋体"/>
          <w:sz w:val="21"/>
          <w:szCs w:val="21"/>
        </w:rPr>
        <w:t>供应商提供的产品必须是全新的，完全必须符合国家相关技术指标，同时满足本次采购的技术规格要求。</w:t>
      </w:r>
    </w:p>
    <w:p>
      <w:pPr>
        <w:adjustRightInd w:val="0"/>
        <w:snapToGrid w:val="0"/>
        <w:spacing w:line="360" w:lineRule="auto"/>
        <w:ind w:firstLine="420" w:firstLineChars="200"/>
        <w:rPr>
          <w:rFonts w:ascii="宋体" w:hAnsi="宋体" w:cs="宋体"/>
          <w:sz w:val="21"/>
          <w:szCs w:val="21"/>
        </w:rPr>
      </w:pPr>
      <w:r>
        <w:rPr>
          <w:rFonts w:hint="eastAsia" w:ascii="宋体" w:hAnsi="宋体" w:cs="宋体"/>
          <w:kern w:val="0"/>
          <w:sz w:val="21"/>
          <w:szCs w:val="21"/>
        </w:rPr>
        <w:t>（三）</w:t>
      </w:r>
      <w:r>
        <w:rPr>
          <w:rFonts w:hint="eastAsia" w:ascii="宋体" w:hAnsi="宋体" w:cs="宋体"/>
          <w:sz w:val="21"/>
          <w:szCs w:val="21"/>
        </w:rPr>
        <w:t>供货到位后，采购人如需供应商到现场实施售后服务和技术指导，供应商应当在采购人提出售后服务要求的48小时内到采购方提供免费售后服务或技术指导。</w:t>
      </w:r>
    </w:p>
    <w:p>
      <w:pPr>
        <w:pStyle w:val="6"/>
        <w:spacing w:before="0" w:after="0" w:line="360" w:lineRule="auto"/>
        <w:rPr>
          <w:rFonts w:ascii="宋体" w:hAnsi="宋体" w:cs="宋体"/>
          <w:sz w:val="21"/>
          <w:szCs w:val="21"/>
        </w:rPr>
      </w:pPr>
      <w:bookmarkStart w:id="156" w:name="_Toc26889"/>
      <w:r>
        <w:rPr>
          <w:rFonts w:hint="eastAsia" w:ascii="宋体" w:hAnsi="宋体" w:cs="宋体"/>
          <w:sz w:val="21"/>
          <w:szCs w:val="21"/>
        </w:rPr>
        <w:t>四、付款方式</w:t>
      </w:r>
      <w:bookmarkEnd w:id="153"/>
      <w:bookmarkEnd w:id="154"/>
      <w:bookmarkEnd w:id="155"/>
      <w:r>
        <w:rPr>
          <w:rFonts w:hint="eastAsia" w:ascii="宋体" w:hAnsi="宋体" w:cs="宋体"/>
          <w:sz w:val="21"/>
          <w:szCs w:val="21"/>
        </w:rPr>
        <w:t>：</w:t>
      </w:r>
      <w:bookmarkEnd w:id="156"/>
    </w:p>
    <w:p>
      <w:pPr>
        <w:snapToGrid w:val="0"/>
        <w:spacing w:line="400" w:lineRule="exact"/>
        <w:ind w:firstLine="420" w:firstLineChars="200"/>
        <w:rPr>
          <w:rFonts w:hint="eastAsia" w:ascii="宋体" w:hAnsi="宋体" w:cs="宋体"/>
          <w:sz w:val="21"/>
          <w:szCs w:val="21"/>
          <w:lang w:val="en-US" w:eastAsia="zh-CN"/>
        </w:rPr>
      </w:pPr>
      <w:bookmarkStart w:id="157" w:name="_Toc493506294"/>
      <w:bookmarkStart w:id="158" w:name="_Toc529376997"/>
      <w:bookmarkStart w:id="159" w:name="_Toc267320052"/>
      <w:bookmarkStart w:id="160" w:name="_Toc13694"/>
      <w:r>
        <w:rPr>
          <w:rFonts w:hint="eastAsia" w:ascii="宋体" w:hAnsi="宋体" w:cs="宋体"/>
          <w:sz w:val="21"/>
          <w:szCs w:val="21"/>
          <w:lang w:val="en-US" w:eastAsia="zh-CN"/>
        </w:rPr>
        <w:t>采购物资到达指定地点经验收数量无误、并提交资料齐全后，采购方将在15个工作日内一次性支付采购物资全部货款。</w:t>
      </w:r>
    </w:p>
    <w:p>
      <w:pPr>
        <w:pStyle w:val="6"/>
        <w:spacing w:before="0" w:after="0" w:line="360" w:lineRule="auto"/>
        <w:rPr>
          <w:rFonts w:ascii="宋体" w:hAnsi="宋体" w:cs="宋体"/>
          <w:sz w:val="21"/>
          <w:szCs w:val="21"/>
        </w:rPr>
      </w:pPr>
      <w:bookmarkStart w:id="161" w:name="_Toc11264"/>
      <w:r>
        <w:rPr>
          <w:rFonts w:hint="eastAsia" w:ascii="宋体" w:hAnsi="宋体" w:cs="宋体"/>
          <w:sz w:val="21"/>
          <w:szCs w:val="21"/>
        </w:rPr>
        <w:t>五、知识产权</w:t>
      </w:r>
      <w:bookmarkEnd w:id="157"/>
      <w:bookmarkEnd w:id="158"/>
      <w:bookmarkEnd w:id="159"/>
      <w:bookmarkEnd w:id="160"/>
      <w:bookmarkEnd w:id="161"/>
    </w:p>
    <w:p>
      <w:pPr>
        <w:adjustRightInd w:val="0"/>
        <w:snapToGri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pStyle w:val="6"/>
        <w:spacing w:before="0" w:after="0" w:line="360" w:lineRule="auto"/>
        <w:rPr>
          <w:rFonts w:ascii="宋体" w:hAnsi="宋体" w:cs="宋体"/>
          <w:sz w:val="21"/>
          <w:szCs w:val="21"/>
        </w:rPr>
      </w:pPr>
      <w:bookmarkStart w:id="162" w:name="_Toc3088"/>
      <w:bookmarkStart w:id="163" w:name="_Toc340223150"/>
      <w:bookmarkStart w:id="164" w:name="_Toc529376999"/>
      <w:bookmarkStart w:id="165" w:name="_Toc267320054"/>
      <w:bookmarkStart w:id="166" w:name="_Toc402182331"/>
      <w:bookmarkStart w:id="167" w:name="_Toc11601"/>
      <w:bookmarkStart w:id="168" w:name="_Toc17169"/>
      <w:r>
        <w:rPr>
          <w:rFonts w:hint="eastAsia" w:ascii="宋体" w:hAnsi="宋体" w:cs="宋体"/>
          <w:sz w:val="21"/>
          <w:szCs w:val="21"/>
        </w:rPr>
        <w:t>六、其他</w:t>
      </w:r>
      <w:bookmarkEnd w:id="162"/>
      <w:bookmarkEnd w:id="163"/>
      <w:bookmarkEnd w:id="164"/>
      <w:bookmarkEnd w:id="165"/>
      <w:bookmarkEnd w:id="166"/>
      <w:bookmarkEnd w:id="167"/>
      <w:bookmarkEnd w:id="168"/>
    </w:p>
    <w:p>
      <w:pPr>
        <w:spacing w:line="360" w:lineRule="auto"/>
        <w:ind w:firstLine="315" w:firstLineChars="150"/>
        <w:rPr>
          <w:rFonts w:ascii="宋体" w:hAnsi="宋体" w:cs="宋体"/>
          <w:sz w:val="21"/>
          <w:szCs w:val="21"/>
        </w:rPr>
      </w:pPr>
      <w:r>
        <w:rPr>
          <w:rFonts w:hint="eastAsia" w:ascii="宋体" w:hAnsi="宋体" w:cs="宋体"/>
          <w:sz w:val="21"/>
          <w:szCs w:val="21"/>
        </w:rPr>
        <w:t>（一）供应商必须在响应文件中对以上条款和服务承诺明确列出，承诺内容必须达到本篇及询价文件其他条款的要求。</w:t>
      </w:r>
    </w:p>
    <w:p>
      <w:pPr>
        <w:spacing w:line="360" w:lineRule="auto"/>
        <w:ind w:firstLine="315" w:firstLineChars="150"/>
        <w:rPr>
          <w:rFonts w:ascii="宋体" w:hAnsi="宋体" w:cs="宋体"/>
          <w:sz w:val="21"/>
          <w:szCs w:val="21"/>
        </w:rPr>
      </w:pPr>
      <w:r>
        <w:rPr>
          <w:rFonts w:hint="eastAsia" w:ascii="宋体" w:hAnsi="宋体" w:cs="宋体"/>
          <w:sz w:val="21"/>
          <w:szCs w:val="21"/>
        </w:rPr>
        <w:t>（二）其他未尽事宜由供需双方在采购合同中详细约定。</w:t>
      </w:r>
    </w:p>
    <w:p>
      <w:pPr>
        <w:widowControl/>
        <w:spacing w:line="360" w:lineRule="auto"/>
        <w:jc w:val="center"/>
        <w:outlineLvl w:val="1"/>
        <w:rPr>
          <w:rFonts w:ascii="宋体" w:hAnsi="宋体" w:cs="宋体"/>
          <w:kern w:val="0"/>
          <w:sz w:val="21"/>
          <w:szCs w:val="21"/>
        </w:rPr>
      </w:pPr>
      <w:r>
        <w:rPr>
          <w:rFonts w:hint="eastAsia" w:ascii="宋体" w:hAnsi="宋体" w:cs="宋体"/>
          <w:kern w:val="0"/>
          <w:sz w:val="21"/>
          <w:szCs w:val="21"/>
        </w:rPr>
        <w:br w:type="page"/>
      </w:r>
    </w:p>
    <w:p>
      <w:pPr>
        <w:pStyle w:val="5"/>
        <w:spacing w:before="0" w:after="0" w:line="360" w:lineRule="auto"/>
        <w:jc w:val="center"/>
        <w:rPr>
          <w:rFonts w:ascii="宋体" w:hAnsi="宋体" w:eastAsia="宋体" w:cs="宋体"/>
          <w:sz w:val="44"/>
          <w:szCs w:val="44"/>
        </w:rPr>
      </w:pPr>
      <w:bookmarkStart w:id="169" w:name="_Toc21166"/>
      <w:r>
        <w:rPr>
          <w:rFonts w:hint="eastAsia" w:ascii="宋体" w:hAnsi="宋体" w:eastAsia="宋体" w:cs="宋体"/>
          <w:sz w:val="44"/>
          <w:szCs w:val="44"/>
        </w:rPr>
        <w:t>第五篇 合同草案条款</w:t>
      </w:r>
      <w:bookmarkEnd w:id="169"/>
    </w:p>
    <w:p>
      <w:pPr>
        <w:widowControl/>
        <w:spacing w:line="360" w:lineRule="auto"/>
        <w:ind w:firstLine="600"/>
        <w:rPr>
          <w:rFonts w:ascii="宋体" w:hAnsi="宋体" w:cs="宋体"/>
          <w:b/>
          <w:bCs/>
          <w:kern w:val="0"/>
          <w:sz w:val="21"/>
          <w:szCs w:val="21"/>
        </w:rPr>
      </w:pPr>
      <w:r>
        <w:rPr>
          <w:rFonts w:hint="eastAsia" w:ascii="宋体" w:hAnsi="宋体" w:cs="宋体"/>
          <w:b/>
          <w:bCs/>
          <w:kern w:val="0"/>
          <w:sz w:val="21"/>
          <w:szCs w:val="21"/>
        </w:rPr>
        <w:t>一、定义</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（一）甲方（需方）即采购人，是指通过询价采购，接受合同货物及服务的各级国家机关、事业单位和团体组织。</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（二）乙方（供方）即成交供应商，是指成交后提供合同货物和服务的自然人、法人及其他组织。</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（三）合同是指由甲乙双方按照竞争性询价文件和响应文件的实质性内容，通过协商一致达成的书面协议。</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（四）合同价格指以成交价格为依据，在供方全面履行合同义务后，需方（或财政部门）应支付给供方的金额。</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（五）技术资料是指合同货物及其相关的设计、制造、监造、检验、验收等文件（包括图纸、各种文字说明、标准）。</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二、货物内容</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合同包括以下内容：货物名称、型号规格、技术参数、数量（单位）等内容。</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三、合同价格</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（一）合同价格即合同总价。</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（二）合同价格包括合同货物、技术资料、合同货物的税费、运杂费、保险费、包装费、装卸费及与货物有关的供方应纳的税费，所有税费由乙方负担。</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（三）合同货物单价为不变价。</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四、转包或分包</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（一）本合同范围的货物，应由乙方直接供应，不得转让他人供应；</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（二）非经甲方书面同意，乙方不得将本合同范围的货物全部或部分分包给他人供应；</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（三）如有转让和未经甲方同意的分包行为，甲方有权解除合同，并追究乙方的违约责任。</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五、质量保证及售后服务</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（一）乙方应按竞争性询价文件规定的货物性能、技术要求、质量标准向甲方提供未经使用的全新产品。</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（二）乙方提供的货物在质保期内因货物本身的质量问题发生故障，乙方应负责免费更换。对达不到技术要求者，根据实际情况，经双方协商，可按以下办法处理：</w:t>
      </w:r>
    </w:p>
    <w:p>
      <w:pPr>
        <w:widowControl/>
        <w:spacing w:line="360" w:lineRule="auto"/>
        <w:ind w:firstLine="480"/>
        <w:rPr>
          <w:rFonts w:ascii="宋体" w:hAnsi="宋体" w:cs="宋体"/>
          <w:kern w:val="0"/>
          <w:sz w:val="21"/>
          <w:szCs w:val="21"/>
        </w:rPr>
      </w:pPr>
      <w:r>
        <w:rPr>
          <w:rFonts w:hint="eastAsia" w:ascii="宋体" w:hAnsi="宋体" w:cs="宋体"/>
          <w:kern w:val="0"/>
          <w:sz w:val="21"/>
          <w:szCs w:val="21"/>
        </w:rPr>
        <w:t>1.更换：由乙方承担所发生的全部费用。</w:t>
      </w:r>
    </w:p>
    <w:p>
      <w:pPr>
        <w:widowControl/>
        <w:spacing w:line="360" w:lineRule="auto"/>
        <w:ind w:firstLine="480"/>
        <w:rPr>
          <w:rFonts w:ascii="宋体" w:hAnsi="宋体" w:cs="宋体"/>
          <w:kern w:val="0"/>
          <w:sz w:val="21"/>
          <w:szCs w:val="21"/>
        </w:rPr>
      </w:pPr>
      <w:r>
        <w:rPr>
          <w:rFonts w:hint="eastAsia" w:ascii="宋体" w:hAnsi="宋体" w:cs="宋体"/>
          <w:kern w:val="0"/>
          <w:sz w:val="21"/>
          <w:szCs w:val="21"/>
        </w:rPr>
        <w:t>2.贬值处理：由甲乙双方合议定价。</w:t>
      </w:r>
    </w:p>
    <w:p>
      <w:pPr>
        <w:widowControl/>
        <w:spacing w:line="360" w:lineRule="auto"/>
        <w:ind w:firstLine="480"/>
        <w:rPr>
          <w:rFonts w:ascii="宋体" w:hAnsi="宋体" w:cs="宋体"/>
          <w:kern w:val="0"/>
          <w:sz w:val="21"/>
          <w:szCs w:val="21"/>
        </w:rPr>
      </w:pPr>
      <w:r>
        <w:rPr>
          <w:rFonts w:hint="eastAsia" w:ascii="宋体" w:hAnsi="宋体" w:cs="宋体"/>
          <w:kern w:val="0"/>
          <w:sz w:val="21"/>
          <w:szCs w:val="21"/>
        </w:rPr>
        <w:t>3.退货处理：乙方应退还甲方支付的合同款，同时应承担该货物的直接费用（运输、保险、检验、货款利息及银行手续费等）。</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（三）如在使用过程中发生质量问题，乙方应同本项目“第四篇 询价项目商务需求”对质量保证及售后服务内容的约定。</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（四）在质保期内，乙方应对货物出现的质量及安全问题负责处理解决并承担一切费用。</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六、付款</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（一）本合同使用货币币制如未作特别说明均为人民币。</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（二）付款方式：银行转账、现金支票。</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（三）付款方法：同本项目“第四篇 询价项目商务需求”中关于付款方式的约定。</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七、检查验收</w:t>
      </w:r>
    </w:p>
    <w:p>
      <w:pPr>
        <w:spacing w:line="360" w:lineRule="auto"/>
        <w:ind w:firstLine="420" w:firstLineChars="200"/>
        <w:rPr>
          <w:rFonts w:ascii="宋体" w:hAnsi="宋体" w:cs="宋体"/>
          <w:kern w:val="0"/>
          <w:sz w:val="21"/>
          <w:szCs w:val="21"/>
        </w:rPr>
      </w:pPr>
      <w:r>
        <w:rPr>
          <w:rFonts w:hint="eastAsia" w:ascii="宋体" w:hAnsi="宋体" w:cs="宋体"/>
          <w:sz w:val="21"/>
          <w:szCs w:val="21"/>
        </w:rPr>
        <w:t>货物验收由采购人主持。采取现场验货的方式，对产品数量、包装、产品合格证、说明书进行现场查检验收，不符合招标产品规格参数，由供货方免费更换并赔偿由此造成的一切损失。</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八、索赔</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供方对货物与合同要求不符负有责任，并且需方已于规定交货内和质量保证期内提出索赔，供方应按需方同意的下述一种或多种方法解决索赔事宜。</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（二）根据货物的疵劣和受损程度以及需方遭受损失的金额，经双方同意降低货物价格。</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九、知识产权</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（一）甲方在中华人民共和国境内使用乙方提供的货物及服务时免受第三方提出的侵犯其专利权或其它知识产权的起诉。如果第三方提出侵权指控，乙方承担由此而引起的一切法律责任和费用。</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（二）若涉及软件开发等服务类项目知识产权的，知识产权归采购人所有。</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十、合同争议的解决</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（一）当事人友好协商达成一致</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（二）在60天内当事人协商不能达成协议的，可提请采购人当地仲裁机构仲裁。</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十一、违约责任</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按《中华人民共和国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》、《中华人民共和国政府采购法》有关条款，或由供需双方约定。</w:t>
      </w:r>
    </w:p>
    <w:p>
      <w:pPr>
        <w:widowControl/>
        <w:spacing w:line="360" w:lineRule="auto"/>
        <w:ind w:firstLine="360"/>
        <w:rPr>
          <w:rFonts w:ascii="宋体" w:hAnsi="宋体" w:cs="宋体"/>
          <w:b/>
          <w:bCs/>
          <w:kern w:val="0"/>
          <w:sz w:val="21"/>
          <w:szCs w:val="21"/>
        </w:rPr>
      </w:pPr>
      <w:r>
        <w:rPr>
          <w:rFonts w:hint="eastAsia" w:ascii="宋体" w:hAnsi="宋体" w:cs="宋体"/>
          <w:b/>
          <w:bCs/>
          <w:kern w:val="0"/>
          <w:sz w:val="21"/>
          <w:szCs w:val="21"/>
        </w:rPr>
        <w:t>十二、合同生效及其它</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（一）合同生效及其效力应符合《中华人民共和国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》有关规定。</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（二）合同应经当事人法定代表人或委托代理人签字，加盖双方合同专用章或公章。</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（三）合同所包括附件，是合同不可分割的一部分，具有同等法法律效力。</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（四）合同需提供担保的，按《中华人民共和国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》规定执行。</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（五）本合同条件未尽事宜依照《中华人民共和国</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》，由供需双方共同协商确定。</w:t>
      </w:r>
    </w:p>
    <w:p>
      <w:pPr>
        <w:widowControl/>
        <w:spacing w:line="360" w:lineRule="auto"/>
        <w:rPr>
          <w:rFonts w:ascii="宋体" w:hAnsi="宋体" w:cs="宋体"/>
          <w:kern w:val="0"/>
          <w:sz w:val="21"/>
          <w:szCs w:val="21"/>
        </w:rPr>
      </w:pPr>
      <w:bookmarkStart w:id="170" w:name="_Toc303945820"/>
      <w:bookmarkEnd w:id="170"/>
      <w:bookmarkStart w:id="171" w:name="_Toc148265480"/>
      <w:bookmarkEnd w:id="171"/>
      <w:r>
        <w:rPr>
          <w:rFonts w:hint="eastAsia" w:ascii="宋体" w:hAnsi="宋体" w:cs="宋体"/>
          <w:kern w:val="0"/>
          <w:sz w:val="21"/>
          <w:szCs w:val="21"/>
        </w:rPr>
        <w:t>附页：合同格式</w:t>
      </w:r>
    </w:p>
    <w:p>
      <w:pPr>
        <w:widowControl/>
        <w:spacing w:before="100" w:beforeAutospacing="1" w:after="100" w:afterAutospacing="1" w:line="360" w:lineRule="auto"/>
        <w:jc w:val="center"/>
        <w:rPr>
          <w:rFonts w:ascii="宋体" w:hAnsi="宋体" w:cs="宋体"/>
          <w:b/>
          <w:bCs/>
          <w:kern w:val="0"/>
          <w:sz w:val="44"/>
          <w:szCs w:val="44"/>
        </w:rPr>
      </w:pPr>
      <w:r>
        <w:rPr>
          <w:rFonts w:hint="eastAsia" w:ascii="宋体" w:hAnsi="宋体" w:cs="宋体"/>
          <w:b/>
          <w:bCs/>
          <w:kern w:val="0"/>
          <w:sz w:val="44"/>
          <w:szCs w:val="44"/>
        </w:rPr>
        <w:br w:type="page"/>
      </w:r>
    </w:p>
    <w:p>
      <w:pPr>
        <w:widowControl/>
        <w:spacing w:before="100" w:beforeAutospacing="1" w:after="100" w:afterAutospacing="1" w:line="360" w:lineRule="auto"/>
        <w:jc w:val="center"/>
        <w:rPr>
          <w:rFonts w:hint="eastAsia" w:ascii="宋体" w:hAnsi="宋体" w:eastAsia="宋体" w:cs="宋体"/>
          <w:kern w:val="0"/>
          <w:sz w:val="44"/>
          <w:szCs w:val="44"/>
          <w:lang w:eastAsia="zh-CN"/>
        </w:rPr>
      </w:pPr>
      <w:r>
        <w:rPr>
          <w:rFonts w:hint="eastAsia" w:ascii="宋体" w:hAnsi="宋体" w:cs="宋体"/>
          <w:b/>
          <w:bCs/>
          <w:kern w:val="0"/>
          <w:sz w:val="44"/>
          <w:szCs w:val="44"/>
        </w:rPr>
        <w:t>重庆市政府采购购销合同</w:t>
      </w:r>
      <w:r>
        <w:rPr>
          <w:rFonts w:hint="eastAsia" w:ascii="宋体" w:hAnsi="宋体" w:cs="宋体"/>
          <w:b/>
          <w:bCs/>
          <w:kern w:val="0"/>
          <w:sz w:val="44"/>
          <w:szCs w:val="44"/>
          <w:lang w:eastAsia="zh-CN"/>
        </w:rPr>
        <w:t>（</w:t>
      </w:r>
      <w:r>
        <w:rPr>
          <w:rFonts w:hint="eastAsia" w:ascii="宋体" w:hAnsi="宋体" w:cs="宋体"/>
          <w:b/>
          <w:bCs/>
          <w:kern w:val="0"/>
          <w:sz w:val="44"/>
          <w:szCs w:val="44"/>
          <w:lang w:val="en-US" w:eastAsia="zh-CN"/>
        </w:rPr>
        <w:t>参考模板</w:t>
      </w:r>
      <w:r>
        <w:rPr>
          <w:rFonts w:hint="eastAsia" w:ascii="宋体" w:hAnsi="宋体" w:cs="宋体"/>
          <w:b/>
          <w:bCs/>
          <w:kern w:val="0"/>
          <w:sz w:val="44"/>
          <w:szCs w:val="44"/>
          <w:lang w:eastAsia="zh-CN"/>
        </w:rPr>
        <w:t>）</w:t>
      </w:r>
    </w:p>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（采购项目编号：     ）</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甲方（需方）：___________________________      计价单位：____________</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乙方（供方）：___________________________      计量单位：_____________</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经双方协商一致，达成以下购销合同：</w:t>
      </w:r>
    </w:p>
    <w:tbl>
      <w:tblPr>
        <w:tblStyle w:val="57"/>
        <w:tblW w:w="9321" w:type="dxa"/>
        <w:tblInd w:w="0" w:type="dxa"/>
        <w:tblLayout w:type="fixed"/>
        <w:tblCellMar>
          <w:top w:w="0" w:type="dxa"/>
          <w:left w:w="0" w:type="dxa"/>
          <w:bottom w:w="0" w:type="dxa"/>
          <w:right w:w="0" w:type="dxa"/>
        </w:tblCellMar>
      </w:tblPr>
      <w:tblGrid>
        <w:gridCol w:w="1255"/>
        <w:gridCol w:w="1631"/>
        <w:gridCol w:w="938"/>
        <w:gridCol w:w="837"/>
        <w:gridCol w:w="861"/>
        <w:gridCol w:w="1479"/>
        <w:gridCol w:w="2290"/>
        <w:gridCol w:w="30"/>
      </w:tblGrid>
      <w:tr>
        <w:tblPrEx>
          <w:tblCellMar>
            <w:top w:w="0" w:type="dxa"/>
            <w:left w:w="0" w:type="dxa"/>
            <w:bottom w:w="0" w:type="dxa"/>
            <w:right w:w="0" w:type="dxa"/>
          </w:tblCellMar>
        </w:tblPrEx>
        <w:trPr>
          <w:trHeight w:val="452" w:hRule="atLeast"/>
        </w:trPr>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商品名称</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规格型号</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数量</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单价</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总价</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交货时间</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交货地点</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trHeight w:val="564" w:hRule="atLeast"/>
        </w:trPr>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6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9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14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2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jc w:val="center"/>
              <w:rPr>
                <w:rFonts w:ascii="宋体" w:hAnsi="宋体" w:cs="宋体"/>
                <w:kern w:val="0"/>
                <w:sz w:val="21"/>
                <w:szCs w:val="21"/>
              </w:rPr>
            </w:pPr>
            <w:r>
              <w:rPr>
                <w:rFonts w:hint="eastAsia" w:ascii="宋体" w:hAnsi="宋体" w:cs="宋体"/>
                <w:kern w:val="0"/>
                <w:sz w:val="21"/>
                <w:szCs w:val="21"/>
              </w:rPr>
              <w:t> </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合计人民币（小写）：</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合计人民币（大写）：</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Height w:val="2052" w:hRule="atLeas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一、质量要求和技术标准。供方提供的商品必须是全新的，完全符合国家有关技术标准，供方的质量保证及售后服务承诺如下：</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1.质保期限：</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2.保修范围：</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3.服务措施：</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4.质保期后服务：</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Height w:val="913" w:hRule="atLeas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二、随机备品、附件、工具数量及供应方法：</w:t>
            </w:r>
          </w:p>
        </w:tc>
        <w:tc>
          <w:tcPr>
            <w:tcW w:w="20" w:type="dxa"/>
            <w:tcBorders>
              <w:top w:val="nil"/>
              <w:left w:val="nil"/>
              <w:bottom w:val="nil"/>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cantSplit/>
          <w:trHeight w:val="751" w:hRule="atLeast"/>
        </w:trPr>
        <w:tc>
          <w:tcPr>
            <w:tcW w:w="9301"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三、交提货方式：</w:t>
            </w:r>
          </w:p>
        </w:tc>
        <w:tc>
          <w:tcPr>
            <w:tcW w:w="20" w:type="dxa"/>
            <w:tcBorders>
              <w:top w:val="nil"/>
              <w:left w:val="nil"/>
              <w:bottom w:val="single" w:color="auto" w:sz="8" w:space="0"/>
              <w:right w:val="nil"/>
            </w:tcBorders>
            <w:vAlign w:val="center"/>
          </w:tcPr>
          <w:p>
            <w:pPr>
              <w:widowControl/>
              <w:spacing w:before="100" w:after="100" w:line="360" w:lineRule="auto"/>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0" w:type="dxa"/>
            <w:bottom w:w="0" w:type="dxa"/>
            <w:right w:w="0" w:type="dxa"/>
          </w:tblCellMar>
        </w:tblPrEx>
        <w:trPr>
          <w:trHeight w:val="1132"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四、验收标准、方法：</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如有异议，请于      日内提出。</w:t>
            </w:r>
          </w:p>
        </w:tc>
      </w:tr>
      <w:tr>
        <w:tblPrEx>
          <w:tblCellMar>
            <w:top w:w="0" w:type="dxa"/>
            <w:left w:w="0" w:type="dxa"/>
            <w:bottom w:w="0" w:type="dxa"/>
            <w:right w:w="0" w:type="dxa"/>
          </w:tblCellMar>
        </w:tblPrEx>
        <w:trPr>
          <w:trHeight w:val="1127"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五、付款方式：</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（按财政支付、采购人支付及支付方式等分别填列）</w:t>
            </w:r>
          </w:p>
        </w:tc>
      </w:tr>
      <w:tr>
        <w:tblPrEx>
          <w:tblCellMar>
            <w:top w:w="0" w:type="dxa"/>
            <w:left w:w="0" w:type="dxa"/>
            <w:bottom w:w="0" w:type="dxa"/>
            <w:right w:w="0" w:type="dxa"/>
          </w:tblCellMar>
        </w:tblPrEx>
        <w:trPr>
          <w:trHeight w:val="1127"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六、违约责任：</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按《</w:t>
            </w:r>
            <w:r>
              <w:rPr>
                <w:rFonts w:hint="eastAsia" w:ascii="宋体" w:hAnsi="宋体" w:cs="宋体"/>
                <w:kern w:val="0"/>
                <w:sz w:val="21"/>
                <w:szCs w:val="21"/>
                <w:lang w:val="en-US" w:eastAsia="zh-CN"/>
              </w:rPr>
              <w:t>民</w:t>
            </w:r>
            <w:r>
              <w:rPr>
                <w:rFonts w:hint="eastAsia" w:ascii="宋体" w:hAnsi="宋体" w:cs="宋体"/>
                <w:kern w:val="0"/>
                <w:sz w:val="21"/>
                <w:szCs w:val="21"/>
              </w:rPr>
              <w:t>法</w:t>
            </w:r>
            <w:r>
              <w:rPr>
                <w:rFonts w:hint="eastAsia" w:ascii="宋体" w:hAnsi="宋体" w:cs="宋体"/>
                <w:kern w:val="0"/>
                <w:sz w:val="21"/>
                <w:szCs w:val="21"/>
                <w:lang w:val="en-US" w:eastAsia="zh-CN"/>
              </w:rPr>
              <w:t>典</w:t>
            </w:r>
            <w:r>
              <w:rPr>
                <w:rFonts w:hint="eastAsia" w:ascii="宋体" w:hAnsi="宋体" w:cs="宋体"/>
                <w:kern w:val="0"/>
                <w:sz w:val="21"/>
                <w:szCs w:val="21"/>
              </w:rPr>
              <w:t>》、《政府采购法》执行，或按双方约定。</w:t>
            </w:r>
          </w:p>
        </w:tc>
      </w:tr>
      <w:tr>
        <w:tblPrEx>
          <w:tblCellMar>
            <w:top w:w="0" w:type="dxa"/>
            <w:left w:w="0" w:type="dxa"/>
            <w:bottom w:w="0" w:type="dxa"/>
            <w:right w:w="0" w:type="dxa"/>
          </w:tblCellMar>
        </w:tblPrEx>
        <w:trPr>
          <w:trHeight w:val="1691"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七、其他约定事项：</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1.询价文件及其补遗文件、响应文件和承诺是本合同不可分割的部分。</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2.本合同如发生争议由双方协商解决，协商不成向需方所在人民法院提请诉讼。</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3.本合同一式__份， 需方__份，供方__份，具同等法律效力。</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4.其他：</w:t>
            </w:r>
          </w:p>
        </w:tc>
      </w:tr>
      <w:tr>
        <w:tblPrEx>
          <w:tblCellMar>
            <w:top w:w="0" w:type="dxa"/>
            <w:left w:w="0" w:type="dxa"/>
            <w:bottom w:w="0" w:type="dxa"/>
            <w:right w:w="0" w:type="dxa"/>
          </w:tblCellMar>
        </w:tblPrEx>
        <w:trPr>
          <w:trHeight w:val="4049" w:hRule="atLeast"/>
        </w:trPr>
        <w:tc>
          <w:tcPr>
            <w:tcW w:w="466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rPr>
                <w:rFonts w:ascii="宋体" w:hAnsi="宋体" w:cs="宋体"/>
                <w:kern w:val="0"/>
                <w:sz w:val="21"/>
                <w:szCs w:val="21"/>
              </w:rPr>
            </w:pPr>
            <w:r>
              <w:rPr>
                <w:rFonts w:hint="eastAsia" w:ascii="宋体" w:hAnsi="宋体" w:cs="宋体"/>
                <w:kern w:val="0"/>
                <w:sz w:val="21"/>
                <w:szCs w:val="21"/>
              </w:rPr>
              <w:t>需方：</w:t>
            </w:r>
          </w:p>
          <w:p>
            <w:pPr>
              <w:widowControl/>
              <w:spacing w:line="360" w:lineRule="auto"/>
              <w:rPr>
                <w:rFonts w:ascii="宋体" w:hAnsi="宋体" w:cs="宋体"/>
                <w:kern w:val="0"/>
                <w:sz w:val="21"/>
                <w:szCs w:val="21"/>
              </w:rPr>
            </w:pPr>
            <w:r>
              <w:rPr>
                <w:rFonts w:hint="eastAsia" w:ascii="宋体" w:hAnsi="宋体" w:cs="宋体"/>
                <w:kern w:val="0"/>
                <w:sz w:val="21"/>
                <w:szCs w:val="21"/>
              </w:rPr>
              <w:t>地址：</w:t>
            </w:r>
          </w:p>
          <w:p>
            <w:pPr>
              <w:widowControl/>
              <w:spacing w:line="360" w:lineRule="auto"/>
              <w:rPr>
                <w:rFonts w:ascii="宋体" w:hAnsi="宋体" w:cs="宋体"/>
                <w:kern w:val="0"/>
                <w:sz w:val="21"/>
                <w:szCs w:val="21"/>
              </w:rPr>
            </w:pPr>
            <w:r>
              <w:rPr>
                <w:rFonts w:hint="eastAsia" w:ascii="宋体" w:hAnsi="宋体" w:cs="宋体"/>
                <w:kern w:val="0"/>
                <w:sz w:val="21"/>
                <w:szCs w:val="21"/>
              </w:rPr>
              <w:t>联系电话：</w:t>
            </w:r>
          </w:p>
          <w:p>
            <w:pPr>
              <w:widowControl/>
              <w:spacing w:line="360" w:lineRule="auto"/>
              <w:rPr>
                <w:rFonts w:ascii="宋体" w:hAnsi="宋体" w:cs="宋体"/>
                <w:kern w:val="0"/>
                <w:sz w:val="21"/>
                <w:szCs w:val="21"/>
              </w:rPr>
            </w:pPr>
            <w:r>
              <w:rPr>
                <w:rFonts w:hint="eastAsia" w:ascii="宋体" w:hAnsi="宋体" w:cs="宋体"/>
                <w:kern w:val="0"/>
                <w:sz w:val="21"/>
                <w:szCs w:val="21"/>
              </w:rPr>
              <w:t>授权代表：</w:t>
            </w:r>
          </w:p>
        </w:tc>
        <w:tc>
          <w:tcPr>
            <w:tcW w:w="4656"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rPr>
                <w:rFonts w:ascii="宋体" w:hAnsi="宋体" w:cs="宋体"/>
                <w:kern w:val="0"/>
                <w:sz w:val="21"/>
                <w:szCs w:val="21"/>
              </w:rPr>
            </w:pPr>
            <w:r>
              <w:rPr>
                <w:rFonts w:hint="eastAsia" w:ascii="宋体" w:hAnsi="宋体" w:cs="宋体"/>
                <w:kern w:val="0"/>
                <w:sz w:val="21"/>
                <w:szCs w:val="21"/>
              </w:rPr>
              <w:t>供方：</w:t>
            </w:r>
          </w:p>
          <w:p>
            <w:pPr>
              <w:widowControl/>
              <w:spacing w:line="360" w:lineRule="auto"/>
              <w:rPr>
                <w:rFonts w:ascii="宋体" w:hAnsi="宋体" w:cs="宋体"/>
                <w:kern w:val="0"/>
                <w:sz w:val="21"/>
                <w:szCs w:val="21"/>
              </w:rPr>
            </w:pPr>
            <w:r>
              <w:rPr>
                <w:rFonts w:hint="eastAsia" w:ascii="宋体" w:hAnsi="宋体" w:cs="宋体"/>
                <w:kern w:val="0"/>
                <w:sz w:val="21"/>
                <w:szCs w:val="21"/>
              </w:rPr>
              <w:t>地址：</w:t>
            </w:r>
          </w:p>
          <w:p>
            <w:pPr>
              <w:widowControl/>
              <w:spacing w:line="360" w:lineRule="auto"/>
              <w:rPr>
                <w:rFonts w:ascii="宋体" w:hAnsi="宋体" w:cs="宋体"/>
                <w:kern w:val="0"/>
                <w:sz w:val="21"/>
                <w:szCs w:val="21"/>
              </w:rPr>
            </w:pPr>
            <w:r>
              <w:rPr>
                <w:rFonts w:hint="eastAsia" w:ascii="宋体" w:hAnsi="宋体" w:cs="宋体"/>
                <w:kern w:val="0"/>
                <w:sz w:val="21"/>
                <w:szCs w:val="21"/>
              </w:rPr>
              <w:t>电话：</w:t>
            </w:r>
          </w:p>
          <w:p>
            <w:pPr>
              <w:widowControl/>
              <w:spacing w:line="360" w:lineRule="auto"/>
              <w:rPr>
                <w:rFonts w:ascii="宋体" w:hAnsi="宋体" w:cs="宋体"/>
                <w:kern w:val="0"/>
                <w:sz w:val="21"/>
                <w:szCs w:val="21"/>
              </w:rPr>
            </w:pPr>
            <w:r>
              <w:rPr>
                <w:rFonts w:hint="eastAsia" w:ascii="宋体" w:hAnsi="宋体" w:cs="宋体"/>
                <w:kern w:val="0"/>
                <w:sz w:val="21"/>
                <w:szCs w:val="21"/>
              </w:rPr>
              <w:t>传真：</w:t>
            </w:r>
          </w:p>
          <w:p>
            <w:pPr>
              <w:widowControl/>
              <w:spacing w:line="360" w:lineRule="auto"/>
              <w:rPr>
                <w:rFonts w:ascii="宋体" w:hAnsi="宋体" w:cs="宋体"/>
                <w:kern w:val="0"/>
                <w:sz w:val="21"/>
                <w:szCs w:val="21"/>
              </w:rPr>
            </w:pPr>
            <w:r>
              <w:rPr>
                <w:rFonts w:hint="eastAsia" w:ascii="宋体" w:hAnsi="宋体" w:cs="宋体"/>
                <w:kern w:val="0"/>
                <w:sz w:val="21"/>
                <w:szCs w:val="21"/>
              </w:rPr>
              <w:t>开户银行：</w:t>
            </w:r>
          </w:p>
          <w:p>
            <w:pPr>
              <w:widowControl/>
              <w:spacing w:line="360" w:lineRule="auto"/>
              <w:rPr>
                <w:rFonts w:ascii="宋体" w:hAnsi="宋体" w:cs="宋体"/>
                <w:kern w:val="0"/>
                <w:sz w:val="21"/>
                <w:szCs w:val="21"/>
              </w:rPr>
            </w:pPr>
            <w:r>
              <w:rPr>
                <w:rFonts w:hint="eastAsia" w:ascii="宋体" w:hAnsi="宋体" w:cs="宋体"/>
                <w:kern w:val="0"/>
                <w:sz w:val="21"/>
                <w:szCs w:val="21"/>
              </w:rPr>
              <w:t>账号：</w:t>
            </w:r>
          </w:p>
          <w:p>
            <w:pPr>
              <w:widowControl/>
              <w:spacing w:line="360" w:lineRule="auto"/>
              <w:rPr>
                <w:rFonts w:ascii="宋体" w:hAnsi="宋体" w:cs="宋体"/>
                <w:kern w:val="0"/>
                <w:sz w:val="21"/>
                <w:szCs w:val="21"/>
              </w:rPr>
            </w:pPr>
            <w:r>
              <w:rPr>
                <w:rFonts w:hint="eastAsia" w:ascii="宋体" w:hAnsi="宋体" w:cs="宋体"/>
                <w:kern w:val="0"/>
                <w:sz w:val="21"/>
                <w:szCs w:val="21"/>
              </w:rPr>
              <w:t>授权代表：</w:t>
            </w:r>
          </w:p>
          <w:p>
            <w:pPr>
              <w:widowControl/>
              <w:spacing w:line="360" w:lineRule="auto"/>
              <w:rPr>
                <w:rFonts w:ascii="宋体" w:hAnsi="宋体" w:cs="宋体"/>
                <w:kern w:val="0"/>
                <w:sz w:val="21"/>
                <w:szCs w:val="21"/>
              </w:rPr>
            </w:pPr>
            <w:r>
              <w:rPr>
                <w:rFonts w:hint="eastAsia" w:ascii="宋体" w:hAnsi="宋体" w:cs="宋体"/>
                <w:kern w:val="0"/>
                <w:sz w:val="21"/>
                <w:szCs w:val="21"/>
              </w:rPr>
              <w:t>（本栏请用计算机打印以便于准确付款）</w:t>
            </w:r>
          </w:p>
        </w:tc>
      </w:tr>
      <w:tr>
        <w:tblPrEx>
          <w:tblCellMar>
            <w:top w:w="0" w:type="dxa"/>
            <w:left w:w="0" w:type="dxa"/>
            <w:bottom w:w="0" w:type="dxa"/>
            <w:right w:w="0" w:type="dxa"/>
          </w:tblCellMar>
        </w:tblPrEx>
        <w:trPr>
          <w:trHeight w:val="882" w:hRule="atLeast"/>
        </w:trPr>
        <w:tc>
          <w:tcPr>
            <w:tcW w:w="9321" w:type="dxa"/>
            <w:gridSpan w:val="8"/>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备注：</w:t>
            </w:r>
          </w:p>
          <w:p>
            <w:pPr>
              <w:widowControl/>
              <w:spacing w:before="100" w:after="100" w:line="360" w:lineRule="auto"/>
              <w:rPr>
                <w:rFonts w:ascii="宋体" w:hAnsi="宋体" w:cs="宋体"/>
                <w:kern w:val="0"/>
                <w:sz w:val="21"/>
                <w:szCs w:val="21"/>
              </w:rPr>
            </w:pPr>
            <w:r>
              <w:rPr>
                <w:rFonts w:hint="eastAsia" w:ascii="宋体" w:hAnsi="宋体" w:cs="宋体"/>
                <w:kern w:val="0"/>
                <w:sz w:val="21"/>
                <w:szCs w:val="21"/>
              </w:rPr>
              <w:t> </w:t>
            </w:r>
          </w:p>
        </w:tc>
      </w:tr>
    </w:tbl>
    <w:p>
      <w:pPr>
        <w:widowControl/>
        <w:spacing w:before="100" w:beforeAutospacing="1" w:after="100" w:afterAutospacing="1" w:line="360" w:lineRule="auto"/>
        <w:rPr>
          <w:rFonts w:ascii="宋体" w:hAnsi="宋体" w:cs="宋体"/>
          <w:kern w:val="0"/>
          <w:sz w:val="21"/>
          <w:szCs w:val="21"/>
        </w:rPr>
      </w:pPr>
      <w:r>
        <w:rPr>
          <w:rFonts w:hint="eastAsia" w:ascii="宋体" w:hAnsi="宋体" w:cs="宋体"/>
          <w:kern w:val="0"/>
          <w:sz w:val="21"/>
          <w:szCs w:val="21"/>
        </w:rPr>
        <w:t>签约时间：           年   月   日      签约地点：</w:t>
      </w:r>
    </w:p>
    <w:p>
      <w:pPr>
        <w:spacing w:line="360" w:lineRule="auto"/>
        <w:jc w:val="center"/>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br w:type="page"/>
      </w:r>
    </w:p>
    <w:bookmarkEnd w:id="147"/>
    <w:bookmarkEnd w:id="148"/>
    <w:p>
      <w:pPr>
        <w:pStyle w:val="5"/>
        <w:spacing w:before="0" w:after="0" w:line="360" w:lineRule="auto"/>
        <w:jc w:val="center"/>
        <w:rPr>
          <w:rFonts w:ascii="宋体" w:hAnsi="宋体" w:eastAsia="宋体" w:cs="宋体"/>
          <w:sz w:val="44"/>
          <w:szCs w:val="44"/>
        </w:rPr>
      </w:pPr>
      <w:bookmarkStart w:id="172" w:name="_Toc1881"/>
      <w:r>
        <w:rPr>
          <w:rFonts w:hint="eastAsia" w:ascii="宋体" w:hAnsi="宋体" w:eastAsia="宋体" w:cs="宋体"/>
          <w:sz w:val="44"/>
          <w:szCs w:val="44"/>
        </w:rPr>
        <w:t>第六篇 响应文件格式要求</w:t>
      </w:r>
      <w:bookmarkEnd w:id="172"/>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一、经济部分</w:t>
      </w:r>
    </w:p>
    <w:p>
      <w:pPr>
        <w:spacing w:line="360" w:lineRule="auto"/>
        <w:ind w:firstLine="420" w:firstLineChars="200"/>
        <w:rPr>
          <w:rFonts w:ascii="宋体" w:hAnsi="宋体" w:cs="宋体"/>
          <w:sz w:val="21"/>
          <w:szCs w:val="21"/>
        </w:rPr>
      </w:pPr>
      <w:r>
        <w:rPr>
          <w:rFonts w:hint="eastAsia" w:ascii="宋体" w:hAnsi="宋体" w:cs="宋体"/>
          <w:sz w:val="21"/>
          <w:szCs w:val="21"/>
        </w:rPr>
        <w:t>（一）报价函</w:t>
      </w:r>
    </w:p>
    <w:p>
      <w:pPr>
        <w:spacing w:line="360" w:lineRule="auto"/>
        <w:ind w:firstLine="420" w:firstLineChars="200"/>
        <w:rPr>
          <w:rFonts w:ascii="宋体" w:hAnsi="宋体" w:cs="宋体"/>
          <w:sz w:val="21"/>
          <w:szCs w:val="21"/>
        </w:rPr>
      </w:pPr>
      <w:r>
        <w:rPr>
          <w:rFonts w:hint="eastAsia" w:ascii="宋体" w:hAnsi="宋体" w:cs="宋体"/>
          <w:sz w:val="21"/>
          <w:szCs w:val="21"/>
        </w:rPr>
        <w:t>（二）明细报价表</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二、技术部分</w:t>
      </w:r>
    </w:p>
    <w:p>
      <w:pPr>
        <w:spacing w:line="360" w:lineRule="auto"/>
        <w:ind w:firstLine="420" w:firstLineChars="200"/>
        <w:rPr>
          <w:rFonts w:ascii="宋体" w:hAnsi="宋体" w:cs="宋体"/>
          <w:sz w:val="21"/>
          <w:szCs w:val="21"/>
        </w:rPr>
      </w:pPr>
      <w:r>
        <w:rPr>
          <w:rFonts w:hint="eastAsia" w:ascii="宋体" w:hAnsi="宋体" w:cs="宋体"/>
          <w:sz w:val="21"/>
          <w:szCs w:val="21"/>
        </w:rPr>
        <w:t>（一）技术响应偏离表</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三、商务部分</w:t>
      </w:r>
    </w:p>
    <w:p>
      <w:pPr>
        <w:spacing w:line="360" w:lineRule="auto"/>
        <w:ind w:firstLine="420" w:firstLineChars="200"/>
        <w:rPr>
          <w:rFonts w:ascii="宋体" w:hAnsi="宋体" w:cs="宋体"/>
          <w:sz w:val="21"/>
          <w:szCs w:val="21"/>
        </w:rPr>
      </w:pPr>
      <w:r>
        <w:rPr>
          <w:rFonts w:hint="eastAsia" w:ascii="宋体" w:hAnsi="宋体" w:cs="宋体"/>
          <w:sz w:val="21"/>
          <w:szCs w:val="21"/>
        </w:rPr>
        <w:t>（一）商务响应偏离表</w:t>
      </w:r>
    </w:p>
    <w:p>
      <w:pPr>
        <w:spacing w:line="360" w:lineRule="auto"/>
        <w:ind w:firstLine="420" w:firstLineChars="200"/>
        <w:rPr>
          <w:rFonts w:ascii="宋体" w:hAnsi="宋体" w:cs="宋体"/>
          <w:sz w:val="21"/>
          <w:szCs w:val="21"/>
        </w:rPr>
      </w:pPr>
      <w:r>
        <w:rPr>
          <w:rFonts w:hint="eastAsia" w:ascii="宋体" w:hAnsi="宋体" w:cs="宋体"/>
          <w:sz w:val="21"/>
          <w:szCs w:val="21"/>
        </w:rPr>
        <w:t>（二）其它优惠承诺</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四、资格条件及其他</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（一）营业执照（副本）或事业单位法人证书（副本）复印件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（二）组织机构代码证复印件</w:t>
      </w:r>
    </w:p>
    <w:p>
      <w:pPr>
        <w:spacing w:line="360" w:lineRule="auto"/>
        <w:ind w:firstLine="420" w:firstLineChars="200"/>
        <w:rPr>
          <w:rFonts w:ascii="宋体" w:hAnsi="宋体" w:cs="宋体"/>
          <w:sz w:val="21"/>
          <w:szCs w:val="21"/>
        </w:rPr>
      </w:pPr>
      <w:r>
        <w:rPr>
          <w:rFonts w:hint="eastAsia" w:ascii="宋体" w:hAnsi="宋体" w:cs="宋体"/>
          <w:sz w:val="21"/>
          <w:szCs w:val="21"/>
        </w:rPr>
        <w:t>注：供应商按“三证合一”登记制度办理营业执照的，组织机构代码证和税务登记证以供应商所提供的法人营业执照（副本）复印件为准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（三）法定代表人身份证明书（格式）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（四）法定代表人授权委托书（格式）</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sz w:val="21"/>
          <w:szCs w:val="21"/>
        </w:rPr>
        <w:t>（五）</w:t>
      </w:r>
      <w:r>
        <w:rPr>
          <w:rFonts w:hint="eastAsia" w:ascii="宋体" w:hAnsi="宋体" w:cs="宋体"/>
          <w:kern w:val="0"/>
          <w:sz w:val="21"/>
          <w:szCs w:val="21"/>
        </w:rPr>
        <w:t>1.提供上一年度财务状况报告（表）或其基本开户银行出具的资信证明（提供复印件）。</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2.本年度新成立或成立不满一年的组织和自然人无法提供财务状况报告（表）的，可提供银行出具的资信证明（提供复印件）。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（六）书面声明（格式）</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（七）税务登记证（副本）复印件和社会保险缴纳证明材料</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（八）特定资格条件证明文件（按询价通知书第一篇第三条第（二）项要求提供）</w:t>
      </w:r>
    </w:p>
    <w:p>
      <w:pPr>
        <w:spacing w:line="360" w:lineRule="auto"/>
        <w:ind w:firstLine="422" w:firstLineChars="200"/>
        <w:rPr>
          <w:rFonts w:ascii="宋体" w:hAnsi="宋体" w:cs="宋体"/>
          <w:b/>
          <w:bCs/>
          <w:sz w:val="21"/>
          <w:szCs w:val="21"/>
        </w:rPr>
      </w:pPr>
      <w:r>
        <w:rPr>
          <w:rFonts w:hint="eastAsia" w:ascii="宋体" w:hAnsi="宋体" w:cs="宋体"/>
          <w:b/>
          <w:bCs/>
          <w:sz w:val="21"/>
          <w:szCs w:val="21"/>
        </w:rPr>
        <w:t>五、其他应提供的资料</w:t>
      </w:r>
    </w:p>
    <w:p>
      <w:pPr>
        <w:spacing w:line="360" w:lineRule="auto"/>
        <w:ind w:firstLine="420" w:firstLineChars="200"/>
        <w:rPr>
          <w:rFonts w:hint="eastAsia" w:ascii="宋体" w:hAnsi="宋体" w:cs="宋体"/>
          <w:sz w:val="21"/>
          <w:szCs w:val="21"/>
          <w:bdr w:val="single" w:color="auto" w:sz="4" w:space="0"/>
        </w:rPr>
      </w:pPr>
    </w:p>
    <w:p>
      <w:pPr>
        <w:pStyle w:val="2"/>
        <w:ind w:left="560" w:firstLine="880"/>
        <w:rPr>
          <w:rFonts w:hint="eastAsia"/>
        </w:rPr>
      </w:pPr>
    </w:p>
    <w:p>
      <w:pPr>
        <w:pStyle w:val="2"/>
        <w:ind w:left="560" w:firstLine="880"/>
        <w:rPr>
          <w:rFonts w:hint="eastAsia"/>
        </w:rPr>
      </w:pPr>
    </w:p>
    <w:p>
      <w:pPr>
        <w:snapToGrid w:val="0"/>
        <w:spacing w:line="440" w:lineRule="exact"/>
        <w:ind w:firstLine="602" w:firstLineChars="200"/>
        <w:rPr>
          <w:rFonts w:hint="eastAsia" w:ascii="仿宋" w:hAnsi="仿宋" w:eastAsia="仿宋"/>
          <w:b/>
          <w:color w:val="FF0000"/>
          <w:sz w:val="30"/>
          <w:szCs w:val="30"/>
        </w:rPr>
      </w:pPr>
      <w:r>
        <w:rPr>
          <w:rFonts w:hint="eastAsia" w:ascii="仿宋" w:hAnsi="仿宋" w:eastAsia="仿宋"/>
          <w:b/>
          <w:color w:val="FF0000"/>
          <w:sz w:val="30"/>
          <w:szCs w:val="30"/>
          <w:lang w:val="en-US" w:eastAsia="zh-CN"/>
        </w:rPr>
        <w:t>响应</w:t>
      </w:r>
      <w:r>
        <w:rPr>
          <w:rFonts w:hint="eastAsia" w:ascii="仿宋" w:hAnsi="仿宋" w:eastAsia="仿宋"/>
          <w:b/>
          <w:color w:val="FF0000"/>
          <w:sz w:val="30"/>
          <w:szCs w:val="30"/>
        </w:rPr>
        <w:t>文件必须软面装订</w:t>
      </w:r>
    </w:p>
    <w:p>
      <w:pPr>
        <w:pStyle w:val="2"/>
        <w:ind w:left="560" w:firstLine="880"/>
        <w:rPr>
          <w:color w:val="FF0000"/>
        </w:rPr>
        <w:sectPr>
          <w:pgSz w:w="11906" w:h="16838"/>
          <w:pgMar w:top="1134" w:right="1191" w:bottom="1134" w:left="1304" w:header="851" w:footer="992" w:gutter="0"/>
          <w:pgNumType w:fmt="numberInDash"/>
          <w:cols w:space="0" w:num="1"/>
        </w:sectPr>
      </w:pPr>
    </w:p>
    <w:p>
      <w:pPr>
        <w:spacing w:line="360" w:lineRule="auto"/>
        <w:ind w:firstLine="422" w:firstLineChars="200"/>
        <w:rPr>
          <w:rFonts w:ascii="宋体" w:hAnsi="宋体" w:cs="宋体"/>
          <w:b/>
          <w:bCs/>
          <w:sz w:val="21"/>
          <w:szCs w:val="21"/>
        </w:rPr>
      </w:pPr>
      <w:bookmarkStart w:id="173" w:name="_Toc521318192"/>
      <w:bookmarkStart w:id="174" w:name="_Toc14167"/>
      <w:bookmarkStart w:id="175" w:name="_Toc25649"/>
      <w:bookmarkStart w:id="176" w:name="_Toc487204797"/>
      <w:bookmarkStart w:id="177" w:name="_Toc17871"/>
      <w:bookmarkStart w:id="178" w:name="_Toc486585240"/>
      <w:bookmarkStart w:id="179" w:name="_Toc486608277"/>
      <w:r>
        <w:rPr>
          <w:rFonts w:hint="eastAsia" w:ascii="宋体" w:hAnsi="宋体" w:cs="宋体"/>
          <w:b/>
          <w:bCs/>
          <w:sz w:val="21"/>
          <w:szCs w:val="21"/>
        </w:rPr>
        <w:t>一、经济部分</w:t>
      </w:r>
      <w:bookmarkEnd w:id="173"/>
      <w:bookmarkEnd w:id="174"/>
      <w:bookmarkEnd w:id="175"/>
      <w:bookmarkEnd w:id="176"/>
      <w:bookmarkEnd w:id="177"/>
      <w:bookmarkEnd w:id="178"/>
      <w:bookmarkEnd w:id="179"/>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（一）报价函</w:t>
      </w:r>
    </w:p>
    <w:p>
      <w:pPr>
        <w:tabs>
          <w:tab w:val="left" w:pos="6300"/>
        </w:tabs>
        <w:snapToGrid w:val="0"/>
        <w:spacing w:line="360" w:lineRule="auto"/>
        <w:jc w:val="center"/>
        <w:outlineLvl w:val="0"/>
        <w:rPr>
          <w:rFonts w:ascii="宋体" w:hAnsi="宋体" w:cs="宋体"/>
          <w:b/>
          <w:sz w:val="21"/>
          <w:szCs w:val="21"/>
        </w:rPr>
      </w:pPr>
      <w:r>
        <w:rPr>
          <w:rFonts w:hint="eastAsia" w:ascii="宋体" w:hAnsi="宋体" w:cs="宋体"/>
          <w:b/>
          <w:sz w:val="21"/>
          <w:szCs w:val="21"/>
        </w:rPr>
        <w:t>询价报价函</w:t>
      </w:r>
      <w:r>
        <w:rPr>
          <w:rFonts w:hint="eastAsia" w:ascii="宋体" w:hAnsi="宋体" w:cs="宋体"/>
          <w:sz w:val="21"/>
          <w:szCs w:val="21"/>
        </w:rPr>
        <w:t>（格式）</w:t>
      </w:r>
    </w:p>
    <w:p>
      <w:pPr>
        <w:tabs>
          <w:tab w:val="left" w:pos="6300"/>
        </w:tabs>
        <w:snapToGrid w:val="0"/>
        <w:spacing w:line="360" w:lineRule="auto"/>
        <w:rPr>
          <w:rFonts w:ascii="宋体" w:hAnsi="宋体" w:cs="宋体"/>
          <w:sz w:val="21"/>
          <w:szCs w:val="21"/>
        </w:rPr>
      </w:pPr>
      <w:r>
        <w:rPr>
          <w:rFonts w:hint="eastAsia" w:ascii="宋体" w:hAnsi="宋体" w:cs="宋体"/>
          <w:sz w:val="21"/>
          <w:szCs w:val="21"/>
          <w:u w:val="single"/>
        </w:rPr>
        <w:t>（采购人名称）</w:t>
      </w:r>
      <w:r>
        <w:rPr>
          <w:rFonts w:hint="eastAsia" w:ascii="宋体" w:hAnsi="宋体" w:cs="宋体"/>
          <w:sz w:val="21"/>
          <w:szCs w:val="21"/>
        </w:rPr>
        <w:t>：</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我方收到</w:t>
      </w:r>
      <w:r>
        <w:rPr>
          <w:rFonts w:hint="eastAsia" w:ascii="宋体" w:hAnsi="宋体" w:cs="宋体"/>
          <w:sz w:val="21"/>
          <w:szCs w:val="21"/>
          <w:u w:val="single"/>
        </w:rPr>
        <w:t xml:space="preserve">                 </w:t>
      </w:r>
      <w:r>
        <w:rPr>
          <w:rFonts w:hint="eastAsia" w:ascii="宋体" w:hAnsi="宋体" w:cs="宋体"/>
          <w:sz w:val="21"/>
          <w:szCs w:val="21"/>
        </w:rPr>
        <w:t>（询价项目名称）的询价通知书，经详细研究，决定参加该项目的询价。</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1.愿意按照询价通知书中的一切要求，提供本项目的交货及技术服务，报价为人民币大写：</w:t>
      </w:r>
      <w:r>
        <w:rPr>
          <w:rFonts w:hint="eastAsia" w:ascii="宋体" w:hAnsi="宋体" w:cs="宋体"/>
          <w:sz w:val="21"/>
          <w:szCs w:val="21"/>
          <w:u w:val="single"/>
        </w:rPr>
        <w:t xml:space="preserve">    （</w:t>
      </w:r>
      <w:r>
        <w:rPr>
          <w:rFonts w:hint="eastAsia" w:ascii="宋体" w:hAnsi="宋体" w:cs="宋体"/>
          <w:sz w:val="21"/>
          <w:szCs w:val="21"/>
        </w:rPr>
        <w:t>人民币小写：</w:t>
      </w:r>
      <w:r>
        <w:rPr>
          <w:rFonts w:hint="eastAsia" w:ascii="宋体" w:hAnsi="宋体" w:cs="宋体"/>
          <w:sz w:val="21"/>
          <w:szCs w:val="21"/>
          <w:u w:val="single"/>
        </w:rPr>
        <w:t xml:space="preserve">     </w:t>
      </w:r>
      <w:r>
        <w:rPr>
          <w:rFonts w:hint="eastAsia" w:ascii="宋体" w:hAnsi="宋体" w:cs="宋体"/>
          <w:sz w:val="21"/>
          <w:szCs w:val="21"/>
        </w:rPr>
        <w:t>）。</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2.我方现提交的响应文件为：响应文件正本</w:t>
      </w:r>
      <w:r>
        <w:rPr>
          <w:rFonts w:hint="eastAsia" w:ascii="宋体" w:hAnsi="宋体" w:cs="宋体"/>
          <w:sz w:val="21"/>
          <w:szCs w:val="21"/>
          <w:u w:val="single"/>
        </w:rPr>
        <w:t xml:space="preserve">   </w:t>
      </w:r>
      <w:r>
        <w:rPr>
          <w:rFonts w:hint="eastAsia" w:ascii="宋体" w:hAnsi="宋体" w:cs="宋体"/>
          <w:sz w:val="21"/>
          <w:szCs w:val="21"/>
        </w:rPr>
        <w:t>份，副本</w:t>
      </w:r>
      <w:r>
        <w:rPr>
          <w:rFonts w:hint="eastAsia" w:ascii="宋体" w:hAnsi="宋体" w:cs="宋体"/>
          <w:sz w:val="21"/>
          <w:szCs w:val="21"/>
          <w:u w:val="single"/>
        </w:rPr>
        <w:t xml:space="preserve">   </w:t>
      </w:r>
      <w:r>
        <w:rPr>
          <w:rFonts w:hint="eastAsia" w:ascii="宋体" w:hAnsi="宋体" w:cs="宋体"/>
          <w:sz w:val="21"/>
          <w:szCs w:val="21"/>
        </w:rPr>
        <w:t>份。</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3.我方承诺：本次询价的有效期为90天。</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4.我方完全理解和接受贵方询价通知书的一切规定和要求及询价评审办法。</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5.在整个询价过程中，我方若有违规行为，接受按照《中华人民共和国政府采购法》和《询价通知书》之规定给予惩罚。</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7.我方同意按询价通知书规定，交纳询价通知书要求的保证金。如果我方成为成交供应商，保证在接到成交通知书后，向采购代理机构和交易中心交纳询价通知书规定的采购代理服务费。</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8.我方未为采购项目提供整体设计、规范编制或者项目管理、监理、检测等服务。</w:t>
      </w:r>
    </w:p>
    <w:p>
      <w:pPr>
        <w:tabs>
          <w:tab w:val="left" w:pos="6300"/>
        </w:tabs>
        <w:snapToGrid w:val="0"/>
        <w:spacing w:line="360" w:lineRule="auto"/>
        <w:ind w:firstLine="570"/>
        <w:rPr>
          <w:rFonts w:hint="eastAsia"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供应商（公章）：</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地址：</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电话：传真：</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网址：邮编：</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联系人：</w:t>
      </w:r>
    </w:p>
    <w:p>
      <w:pPr>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w:t>
      </w:r>
    </w:p>
    <w:p>
      <w:pPr>
        <w:snapToGrid w:val="0"/>
        <w:spacing w:line="360" w:lineRule="auto"/>
        <w:ind w:right="105" w:firstLine="420" w:firstLineChars="200"/>
        <w:jc w:val="left"/>
        <w:rPr>
          <w:rFonts w:ascii="宋体" w:hAnsi="宋体" w:cs="宋体"/>
          <w:sz w:val="21"/>
          <w:szCs w:val="21"/>
        </w:rPr>
      </w:pPr>
      <w:r>
        <w:rPr>
          <w:rFonts w:hint="eastAsia" w:ascii="宋体" w:hAnsi="宋体" w:cs="宋体"/>
          <w:sz w:val="21"/>
          <w:szCs w:val="21"/>
        </w:rPr>
        <w:t xml:space="preserve">    年   月   日</w:t>
      </w:r>
    </w:p>
    <w:p>
      <w:pPr>
        <w:widowControl/>
        <w:spacing w:line="360" w:lineRule="auto"/>
        <w:jc w:val="left"/>
        <w:rPr>
          <w:rFonts w:ascii="宋体" w:hAnsi="宋体" w:cs="宋体"/>
          <w:sz w:val="21"/>
          <w:szCs w:val="21"/>
        </w:rPr>
        <w:sectPr>
          <w:pgSz w:w="11906" w:h="16838"/>
          <w:pgMar w:top="1134" w:right="1191" w:bottom="1134" w:left="1304" w:header="851" w:footer="992" w:gutter="0"/>
          <w:pgNumType w:fmt="numberInDash"/>
          <w:cols w:space="0" w:num="1"/>
        </w:sectPr>
      </w:pPr>
    </w:p>
    <w:p>
      <w:pPr>
        <w:tabs>
          <w:tab w:val="left" w:pos="2895"/>
        </w:tabs>
        <w:spacing w:line="360" w:lineRule="auto"/>
        <w:ind w:firstLine="420" w:firstLineChars="200"/>
        <w:rPr>
          <w:rFonts w:ascii="宋体" w:hAnsi="宋体" w:cs="宋体"/>
          <w:sz w:val="21"/>
          <w:szCs w:val="21"/>
        </w:rPr>
      </w:pPr>
      <w:r>
        <w:rPr>
          <w:rFonts w:hint="eastAsia" w:ascii="宋体" w:hAnsi="宋体" w:cs="宋体"/>
          <w:sz w:val="21"/>
          <w:szCs w:val="21"/>
        </w:rPr>
        <w:t>（二）明细报价表</w:t>
      </w:r>
    </w:p>
    <w:p>
      <w:pPr>
        <w:spacing w:line="360" w:lineRule="auto"/>
        <w:jc w:val="center"/>
        <w:rPr>
          <w:rFonts w:ascii="宋体" w:hAnsi="宋体" w:cs="宋体"/>
          <w:b/>
          <w:sz w:val="21"/>
          <w:szCs w:val="21"/>
        </w:rPr>
      </w:pPr>
      <w:r>
        <w:rPr>
          <w:rFonts w:hint="eastAsia" w:ascii="宋体" w:hAnsi="宋体" w:cs="宋体"/>
          <w:b/>
          <w:sz w:val="21"/>
          <w:szCs w:val="21"/>
        </w:rPr>
        <w:t>明细报价表</w:t>
      </w:r>
    </w:p>
    <w:p>
      <w:pPr>
        <w:spacing w:line="360" w:lineRule="auto"/>
        <w:rPr>
          <w:rFonts w:ascii="宋体" w:hAnsi="宋体" w:cs="宋体"/>
          <w:sz w:val="21"/>
          <w:szCs w:val="21"/>
        </w:rPr>
      </w:pPr>
      <w:r>
        <w:rPr>
          <w:rFonts w:hint="eastAsia" w:ascii="宋体" w:hAnsi="宋体" w:cs="宋体"/>
          <w:sz w:val="21"/>
          <w:szCs w:val="21"/>
        </w:rPr>
        <w:t>项目编号：</w:t>
      </w:r>
    </w:p>
    <w:p>
      <w:pPr>
        <w:spacing w:line="360" w:lineRule="auto"/>
        <w:rPr>
          <w:rFonts w:ascii="宋体" w:hAnsi="宋体" w:cs="宋体"/>
          <w:sz w:val="21"/>
          <w:szCs w:val="21"/>
          <w:u w:val="single"/>
        </w:rPr>
      </w:pPr>
      <w:r>
        <w:rPr>
          <w:rFonts w:hint="eastAsia" w:ascii="宋体" w:hAnsi="宋体" w:cs="宋体"/>
          <w:sz w:val="21"/>
          <w:szCs w:val="21"/>
        </w:rPr>
        <w:t>项目名称：</w:t>
      </w:r>
    </w:p>
    <w:tbl>
      <w:tblPr>
        <w:tblStyle w:val="57"/>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716"/>
        <w:gridCol w:w="1401"/>
        <w:gridCol w:w="12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产品名称</w:t>
            </w:r>
          </w:p>
        </w:tc>
        <w:tc>
          <w:tcPr>
            <w:tcW w:w="1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品牌规格型号或要求</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制造商名称</w:t>
            </w:r>
          </w:p>
        </w:tc>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计量单位</w:t>
            </w:r>
          </w:p>
        </w:tc>
        <w:tc>
          <w:tcPr>
            <w:tcW w:w="1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数量</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1"/>
                <w:szCs w:val="21"/>
              </w:rPr>
            </w:pPr>
          </w:p>
          <w:p>
            <w:pPr>
              <w:spacing w:line="360" w:lineRule="auto"/>
              <w:jc w:val="center"/>
              <w:rPr>
                <w:rFonts w:ascii="宋体" w:hAnsi="宋体" w:cs="宋体"/>
                <w:sz w:val="21"/>
                <w:szCs w:val="21"/>
              </w:rPr>
            </w:pPr>
            <w:r>
              <w:rPr>
                <w:rFonts w:hint="eastAsia" w:ascii="宋体" w:hAnsi="宋体" w:cs="宋体"/>
                <w:sz w:val="21"/>
                <w:szCs w:val="21"/>
              </w:rPr>
              <w:t>单价</w:t>
            </w:r>
          </w:p>
          <w:p>
            <w:pPr>
              <w:spacing w:line="360" w:lineRule="auto"/>
              <w:jc w:val="center"/>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1"/>
                <w:szCs w:val="21"/>
              </w:rPr>
            </w:pPr>
            <w:r>
              <w:rPr>
                <w:rFonts w:hint="eastAsia" w:ascii="宋体" w:hAnsi="宋体" w:cs="宋体"/>
                <w:sz w:val="21"/>
                <w:szCs w:val="21"/>
              </w:rPr>
              <w:t>合计</w:t>
            </w:r>
          </w:p>
          <w:p>
            <w:pPr>
              <w:spacing w:line="360" w:lineRule="auto"/>
              <w:jc w:val="center"/>
              <w:rPr>
                <w:rFonts w:ascii="宋体" w:hAnsi="宋体" w:cs="宋体"/>
                <w:sz w:val="21"/>
                <w:szCs w:val="21"/>
              </w:rPr>
            </w:pPr>
            <w:r>
              <w:rPr>
                <w:rFonts w:hint="eastAsia" w:ascii="宋体" w:hAnsi="宋体" w:cs="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71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401"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2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c>
          <w:tcPr>
            <w:tcW w:w="1066" w:type="dxa"/>
            <w:tcBorders>
              <w:top w:val="single" w:color="auto" w:sz="4" w:space="0"/>
              <w:left w:val="single" w:color="auto" w:sz="4" w:space="0"/>
              <w:bottom w:val="single" w:color="auto" w:sz="4" w:space="0"/>
              <w:right w:val="single" w:color="auto" w:sz="4" w:space="0"/>
            </w:tcBorders>
            <w:vAlign w:val="center"/>
          </w:tcPr>
          <w:p>
            <w:pPr>
              <w:keepNext/>
              <w:snapToGrid w:val="0"/>
              <w:spacing w:line="360" w:lineRule="auto"/>
              <w:jc w:val="center"/>
              <w:outlineLvl w:val="0"/>
              <w:rPr>
                <w:rFonts w:ascii="宋体" w:hAnsi="宋体" w:cs="宋体"/>
                <w:sz w:val="21"/>
                <w:szCs w:val="21"/>
              </w:rPr>
            </w:pPr>
          </w:p>
        </w:tc>
      </w:tr>
    </w:tbl>
    <w:p>
      <w:pPr>
        <w:snapToGrid w:val="0"/>
        <w:spacing w:line="360" w:lineRule="auto"/>
        <w:rPr>
          <w:rFonts w:ascii="宋体" w:hAnsi="宋体" w:cs="宋体"/>
          <w:sz w:val="21"/>
          <w:szCs w:val="21"/>
        </w:rPr>
      </w:pP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注：1.请供应商完整填写本表。</w:t>
      </w:r>
    </w:p>
    <w:p>
      <w:pPr>
        <w:snapToGrid w:val="0"/>
        <w:spacing w:line="360" w:lineRule="auto"/>
        <w:rPr>
          <w:rFonts w:ascii="宋体" w:hAnsi="宋体" w:cs="宋体"/>
          <w:sz w:val="21"/>
          <w:szCs w:val="21"/>
        </w:rPr>
      </w:pPr>
      <w:r>
        <w:rPr>
          <w:rFonts w:hint="eastAsia" w:ascii="宋体" w:hAnsi="宋体" w:cs="宋体"/>
          <w:sz w:val="21"/>
          <w:szCs w:val="21"/>
        </w:rPr>
        <w:t xml:space="preserve">        2.该表可扩展，并逐页签字或盖章。</w:t>
      </w:r>
    </w:p>
    <w:p>
      <w:pPr>
        <w:snapToGrid w:val="0"/>
        <w:spacing w:line="360" w:lineRule="auto"/>
        <w:rPr>
          <w:rFonts w:ascii="宋体" w:hAnsi="宋体" w:cs="宋体"/>
          <w:sz w:val="21"/>
          <w:szCs w:val="21"/>
        </w:rPr>
      </w:pPr>
    </w:p>
    <w:p>
      <w:pPr>
        <w:pStyle w:val="38"/>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 xml:space="preserve">                                                    供应商名称（公章）：</w:t>
      </w:r>
    </w:p>
    <w:p>
      <w:pPr>
        <w:spacing w:line="360" w:lineRule="auto"/>
        <w:ind w:right="480" w:firstLine="5670" w:firstLineChars="2700"/>
        <w:rPr>
          <w:rFonts w:ascii="宋体" w:hAnsi="宋体" w:cs="宋体"/>
          <w:sz w:val="21"/>
          <w:szCs w:val="21"/>
        </w:rPr>
      </w:pPr>
      <w:r>
        <w:rPr>
          <w:rFonts w:hint="eastAsia" w:ascii="宋体" w:hAnsi="宋体" w:cs="宋体"/>
          <w:sz w:val="21"/>
          <w:szCs w:val="21"/>
        </w:rPr>
        <w:t>年  月  日</w:t>
      </w:r>
    </w:p>
    <w:p>
      <w:pPr>
        <w:widowControl/>
        <w:spacing w:line="360" w:lineRule="auto"/>
        <w:jc w:val="left"/>
        <w:rPr>
          <w:rFonts w:ascii="宋体" w:hAnsi="宋体" w:cs="宋体"/>
          <w:sz w:val="21"/>
          <w:szCs w:val="21"/>
          <w:bdr w:val="single" w:color="auto" w:sz="4" w:space="0"/>
        </w:rPr>
        <w:sectPr>
          <w:pgSz w:w="11906" w:h="16838"/>
          <w:pgMar w:top="1134" w:right="1191" w:bottom="1134" w:left="1304" w:header="851" w:footer="992" w:gutter="0"/>
          <w:pgNumType w:fmt="numberInDash"/>
          <w:cols w:space="0" w:num="1"/>
        </w:sectPr>
      </w:pPr>
    </w:p>
    <w:p>
      <w:pPr>
        <w:spacing w:line="360" w:lineRule="auto"/>
        <w:ind w:firstLine="422" w:firstLineChars="200"/>
        <w:rPr>
          <w:rFonts w:ascii="宋体" w:hAnsi="宋体" w:cs="宋体"/>
          <w:b/>
          <w:bCs/>
          <w:sz w:val="21"/>
          <w:szCs w:val="21"/>
        </w:rPr>
      </w:pPr>
      <w:bookmarkStart w:id="180" w:name="_Toc3"/>
      <w:bookmarkStart w:id="181" w:name="_Toc3545"/>
      <w:bookmarkStart w:id="182" w:name="_Toc21455"/>
      <w:bookmarkStart w:id="183" w:name="_Toc521318193"/>
      <w:bookmarkStart w:id="184" w:name="_Toc486585241"/>
      <w:bookmarkStart w:id="185" w:name="_Toc487204798"/>
      <w:bookmarkStart w:id="186" w:name="_Toc486608278"/>
      <w:r>
        <w:rPr>
          <w:rFonts w:hint="eastAsia" w:ascii="宋体" w:hAnsi="宋体" w:cs="宋体"/>
          <w:b/>
          <w:bCs/>
          <w:sz w:val="21"/>
          <w:szCs w:val="21"/>
        </w:rPr>
        <w:t>二、技术部分</w:t>
      </w:r>
      <w:bookmarkEnd w:id="180"/>
      <w:bookmarkEnd w:id="181"/>
      <w:bookmarkEnd w:id="182"/>
      <w:bookmarkEnd w:id="183"/>
      <w:bookmarkEnd w:id="184"/>
      <w:bookmarkEnd w:id="185"/>
      <w:bookmarkEnd w:id="186"/>
    </w:p>
    <w:p>
      <w:pPr>
        <w:snapToGrid w:val="0"/>
        <w:spacing w:line="360" w:lineRule="auto"/>
        <w:jc w:val="left"/>
        <w:rPr>
          <w:rFonts w:ascii="宋体" w:hAnsi="宋体" w:cs="宋体"/>
          <w:sz w:val="21"/>
          <w:szCs w:val="21"/>
        </w:rPr>
      </w:pPr>
      <w:r>
        <w:rPr>
          <w:rFonts w:hint="eastAsia" w:ascii="宋体" w:hAnsi="宋体" w:cs="宋体"/>
          <w:sz w:val="21"/>
          <w:szCs w:val="21"/>
        </w:rPr>
        <w:t>（一）技术响应偏离表</w:t>
      </w:r>
    </w:p>
    <w:p>
      <w:pPr>
        <w:pStyle w:val="33"/>
        <w:tabs>
          <w:tab w:val="left" w:pos="6300"/>
        </w:tabs>
        <w:snapToGrid w:val="0"/>
        <w:spacing w:line="360" w:lineRule="auto"/>
        <w:ind w:firstLine="315" w:firstLineChars="150"/>
        <w:outlineLvl w:val="0"/>
        <w:rPr>
          <w:rFonts w:ascii="宋体" w:hAnsi="宋体" w:cs="宋体"/>
          <w:sz w:val="21"/>
          <w:szCs w:val="21"/>
        </w:rPr>
      </w:pPr>
      <w:r>
        <w:rPr>
          <w:rFonts w:hint="eastAsia" w:ascii="宋体" w:hAnsi="宋体" w:cs="宋体"/>
          <w:sz w:val="21"/>
          <w:szCs w:val="21"/>
        </w:rPr>
        <w:t>项目名称：</w:t>
      </w:r>
    </w:p>
    <w:tbl>
      <w:tblPr>
        <w:tblStyle w:val="57"/>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bl>
    <w:p>
      <w:pPr>
        <w:spacing w:line="360" w:lineRule="auto"/>
        <w:ind w:firstLine="525" w:firstLineChars="250"/>
        <w:rPr>
          <w:rFonts w:ascii="宋体" w:hAnsi="宋体" w:cs="宋体"/>
          <w:sz w:val="21"/>
          <w:szCs w:val="21"/>
        </w:rPr>
      </w:pPr>
      <w:r>
        <w:rPr>
          <w:rFonts w:hint="eastAsia" w:ascii="宋体" w:hAnsi="宋体" w:cs="宋体"/>
          <w:sz w:val="21"/>
          <w:szCs w:val="21"/>
        </w:rPr>
        <w:t>供应商：                               法定代表人授权代表：</w:t>
      </w:r>
    </w:p>
    <w:p>
      <w:pPr>
        <w:spacing w:line="360" w:lineRule="auto"/>
        <w:rPr>
          <w:rFonts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（供应商公章）                             （签字或盖章）</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注：</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1.本表必须按照“第三篇  询价项目技术需求”中所列内容逐条进行比较和响应，根据响应情况在“差异说明”项填写正偏离或负偏离及原因，完全符合的填写“无差异”。未按照规定要求填写的，视为无效响应。</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2. 本表“响应情况”栏应针对所投产品的性能、质量等作实质性参数描述，表中未作实质性参数描述的，视为无效响应。</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3.供应商应按询价通知书的要求（如有）提供相关技术支撑材料。（格式自定）</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4. 供应商在“差异说明”项填写为“正偏离”的，必须提供相关技术支撑材料予以证明，否则不予认可。</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5.本表可扩展，并逐页签字或盖章，否则视为无效响应。</w:t>
      </w:r>
      <w:r>
        <w:rPr>
          <w:rFonts w:hint="eastAsia" w:ascii="宋体" w:hAnsi="宋体" w:cs="宋体"/>
          <w:sz w:val="21"/>
          <w:szCs w:val="21"/>
        </w:rPr>
        <w:br w:type="page"/>
      </w:r>
      <w:bookmarkStart w:id="187" w:name="_Toc11448"/>
      <w:bookmarkStart w:id="188" w:name="_Toc140"/>
      <w:bookmarkStart w:id="189" w:name="_Toc487204799"/>
      <w:bookmarkStart w:id="190" w:name="_Toc521318194"/>
      <w:bookmarkStart w:id="191" w:name="_Toc486608279"/>
      <w:bookmarkStart w:id="192" w:name="_Toc486585242"/>
      <w:bookmarkStart w:id="193" w:name="_Toc22529"/>
      <w:r>
        <w:rPr>
          <w:rFonts w:hint="eastAsia" w:ascii="宋体" w:hAnsi="宋体" w:cs="宋体"/>
          <w:b/>
          <w:bCs/>
          <w:sz w:val="32"/>
          <w:szCs w:val="32"/>
        </w:rPr>
        <w:t>三、商务部分</w:t>
      </w:r>
      <w:bookmarkEnd w:id="187"/>
      <w:bookmarkEnd w:id="188"/>
      <w:bookmarkEnd w:id="189"/>
      <w:bookmarkEnd w:id="190"/>
      <w:bookmarkEnd w:id="191"/>
      <w:bookmarkEnd w:id="192"/>
      <w:bookmarkEnd w:id="193"/>
    </w:p>
    <w:p>
      <w:pPr>
        <w:spacing w:line="360" w:lineRule="auto"/>
        <w:rPr>
          <w:rFonts w:ascii="宋体" w:hAnsi="宋体" w:cs="宋体"/>
          <w:sz w:val="21"/>
          <w:szCs w:val="21"/>
        </w:rPr>
      </w:pPr>
      <w:r>
        <w:rPr>
          <w:rFonts w:hint="eastAsia" w:ascii="宋体" w:hAnsi="宋体" w:cs="宋体"/>
          <w:sz w:val="21"/>
          <w:szCs w:val="21"/>
        </w:rPr>
        <w:t>（一）商务响应偏离表</w:t>
      </w:r>
    </w:p>
    <w:p>
      <w:pPr>
        <w:snapToGrid w:val="0"/>
        <w:spacing w:line="360" w:lineRule="auto"/>
        <w:jc w:val="center"/>
        <w:rPr>
          <w:rFonts w:ascii="宋体" w:hAnsi="宋体" w:cs="宋体"/>
          <w:b/>
          <w:sz w:val="21"/>
          <w:szCs w:val="21"/>
        </w:rPr>
      </w:pPr>
    </w:p>
    <w:p>
      <w:pPr>
        <w:snapToGrid w:val="0"/>
        <w:spacing w:line="360" w:lineRule="auto"/>
        <w:jc w:val="center"/>
        <w:rPr>
          <w:rFonts w:ascii="宋体" w:hAnsi="宋体" w:cs="宋体"/>
          <w:b/>
          <w:sz w:val="21"/>
          <w:szCs w:val="21"/>
        </w:rPr>
      </w:pPr>
      <w:r>
        <w:rPr>
          <w:rFonts w:hint="eastAsia" w:ascii="宋体" w:hAnsi="宋体" w:cs="宋体"/>
          <w:b/>
          <w:sz w:val="21"/>
          <w:szCs w:val="21"/>
        </w:rPr>
        <w:t>商务响应偏离表</w:t>
      </w:r>
    </w:p>
    <w:p>
      <w:pPr>
        <w:snapToGrid w:val="0"/>
        <w:spacing w:line="360" w:lineRule="auto"/>
        <w:ind w:firstLine="465"/>
        <w:rPr>
          <w:rFonts w:ascii="宋体" w:hAnsi="宋体" w:cs="宋体"/>
          <w:sz w:val="21"/>
          <w:szCs w:val="21"/>
        </w:rPr>
      </w:pPr>
    </w:p>
    <w:p>
      <w:pPr>
        <w:snapToGrid w:val="0"/>
        <w:spacing w:line="360" w:lineRule="auto"/>
        <w:ind w:firstLine="465"/>
        <w:rPr>
          <w:rFonts w:ascii="宋体" w:hAnsi="宋体" w:cs="宋体"/>
          <w:sz w:val="21"/>
          <w:szCs w:val="21"/>
        </w:rPr>
      </w:pPr>
      <w:r>
        <w:rPr>
          <w:rFonts w:hint="eastAsia" w:ascii="宋体" w:hAnsi="宋体" w:cs="宋体"/>
          <w:sz w:val="21"/>
          <w:szCs w:val="21"/>
        </w:rPr>
        <w:t>对于询价通知书的商务要求，如有任何偏离请如实填写下表：</w:t>
      </w:r>
    </w:p>
    <w:tbl>
      <w:tblPr>
        <w:tblStyle w:val="5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60" w:lineRule="auto"/>
              <w:jc w:val="center"/>
              <w:outlineLvl w:val="0"/>
              <w:rPr>
                <w:rFonts w:ascii="宋体" w:hAnsi="宋体" w:cs="宋体"/>
                <w:sz w:val="21"/>
                <w:szCs w:val="21"/>
              </w:rPr>
            </w:pPr>
            <w:r>
              <w:rPr>
                <w:rFonts w:hint="eastAsia" w:ascii="宋体" w:hAnsi="宋体" w:cs="宋体"/>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60" w:lineRule="auto"/>
              <w:jc w:val="center"/>
              <w:outlineLvl w:val="0"/>
              <w:rPr>
                <w:rFonts w:ascii="宋体" w:hAnsi="宋体" w:cs="宋体"/>
                <w:sz w:val="21"/>
                <w:szCs w:val="21"/>
              </w:rPr>
            </w:pPr>
          </w:p>
        </w:tc>
      </w:tr>
    </w:tbl>
    <w:p>
      <w:pPr>
        <w:snapToGrid w:val="0"/>
        <w:spacing w:line="360" w:lineRule="auto"/>
        <w:ind w:firstLine="465"/>
        <w:rPr>
          <w:rFonts w:ascii="宋体" w:hAnsi="宋体" w:cs="宋体"/>
          <w:sz w:val="21"/>
          <w:szCs w:val="21"/>
        </w:rPr>
      </w:pPr>
    </w:p>
    <w:p>
      <w:pPr>
        <w:spacing w:line="360" w:lineRule="auto"/>
        <w:ind w:firstLine="525" w:firstLineChars="250"/>
        <w:rPr>
          <w:rFonts w:ascii="宋体" w:hAnsi="宋体" w:cs="宋体"/>
          <w:sz w:val="21"/>
          <w:szCs w:val="21"/>
        </w:rPr>
      </w:pPr>
      <w:r>
        <w:rPr>
          <w:rFonts w:hint="eastAsia" w:ascii="宋体" w:hAnsi="宋体" w:cs="宋体"/>
          <w:sz w:val="21"/>
          <w:szCs w:val="21"/>
        </w:rPr>
        <w:t>供应商：                              法定代表人授权代表：</w:t>
      </w:r>
    </w:p>
    <w:p>
      <w:pPr>
        <w:spacing w:line="360" w:lineRule="auto"/>
        <w:rPr>
          <w:rFonts w:ascii="宋体" w:hAnsi="宋体" w:cs="宋体"/>
          <w:sz w:val="21"/>
          <w:szCs w:val="21"/>
        </w:rPr>
      </w:pPr>
      <w:r>
        <w:rPr>
          <w:rFonts w:hint="eastAsia" w:ascii="宋体" w:hAnsi="宋体" w:cs="宋体"/>
          <w:sz w:val="21"/>
          <w:szCs w:val="21"/>
        </w:rPr>
        <w:t>（供应商公章）                                （签字或盖章）</w:t>
      </w:r>
    </w:p>
    <w:p>
      <w:pPr>
        <w:spacing w:line="360" w:lineRule="auto"/>
        <w:rPr>
          <w:rFonts w:ascii="宋体" w:hAnsi="宋体" w:cs="宋体"/>
          <w:sz w:val="21"/>
          <w:szCs w:val="21"/>
        </w:rPr>
      </w:pPr>
    </w:p>
    <w:p>
      <w:pPr>
        <w:spacing w:line="360" w:lineRule="auto"/>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注：</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1.本表必须按照“第四篇 询价项目商务需求”中所列内容逐条进行比较和响应，根据响应情况在“差异说明”项填写正偏离或负偏离及原因，完全符合的填写“无差异”。未按照规定要求填写的，视为无效响应。</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3.本表可扩展，并逐页签字或盖章，否则视为无效响应。</w:t>
      </w:r>
    </w:p>
    <w:p>
      <w:pPr>
        <w:spacing w:line="360" w:lineRule="auto"/>
        <w:ind w:firstLine="420" w:firstLineChars="200"/>
        <w:rPr>
          <w:rFonts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（二）其它优惠承诺（格式自定）</w:t>
      </w:r>
    </w:p>
    <w:p>
      <w:pPr>
        <w:pStyle w:val="229"/>
        <w:ind w:left="0" w:leftChars="0" w:firstLine="0" w:firstLineChars="0"/>
        <w:jc w:val="left"/>
      </w:pPr>
      <w:r>
        <w:rPr>
          <w:rFonts w:hint="eastAsia"/>
        </w:rPr>
        <w:br w:type="page"/>
      </w:r>
      <w:bookmarkStart w:id="194" w:name="_Toc521318195"/>
      <w:bookmarkStart w:id="195" w:name="_Toc487204800"/>
      <w:bookmarkStart w:id="196" w:name="_Toc486608280"/>
      <w:bookmarkStart w:id="197" w:name="_Toc29782"/>
      <w:bookmarkStart w:id="198" w:name="_Toc19654"/>
      <w:bookmarkStart w:id="199" w:name="_Toc12589"/>
      <w:bookmarkStart w:id="200" w:name="_Toc486585243"/>
      <w:r>
        <w:rPr>
          <w:rFonts w:hint="eastAsia" w:ascii="宋体" w:hAnsi="宋体" w:cs="宋体"/>
          <w:b/>
          <w:bCs/>
          <w:sz w:val="32"/>
          <w:szCs w:val="32"/>
        </w:rPr>
        <w:t>四、资格条件及其他</w:t>
      </w:r>
      <w:bookmarkEnd w:id="194"/>
      <w:bookmarkEnd w:id="195"/>
      <w:bookmarkEnd w:id="196"/>
      <w:bookmarkEnd w:id="197"/>
      <w:bookmarkEnd w:id="198"/>
      <w:bookmarkEnd w:id="199"/>
      <w:bookmarkEnd w:id="200"/>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rPr>
          <w:rFonts w:ascii="宋体" w:hAnsi="宋体" w:cs="宋体"/>
          <w:sz w:val="21"/>
          <w:szCs w:val="21"/>
        </w:rPr>
      </w:pPr>
      <w:r>
        <w:rPr>
          <w:rFonts w:hint="eastAsia" w:ascii="宋体" w:hAnsi="宋体" w:cs="宋体"/>
          <w:sz w:val="21"/>
          <w:szCs w:val="21"/>
        </w:rPr>
        <w:t>（一）营业执照（副本）或事业单位法人证书（副本）复印件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rPr>
          <w:rFonts w:ascii="宋体" w:hAnsi="宋体" w:cs="宋体"/>
          <w:sz w:val="21"/>
          <w:szCs w:val="21"/>
        </w:rPr>
      </w:pPr>
      <w:r>
        <w:rPr>
          <w:rFonts w:hint="eastAsia" w:ascii="宋体" w:hAnsi="宋体" w:cs="宋体"/>
          <w:sz w:val="21"/>
          <w:szCs w:val="21"/>
        </w:rPr>
        <w:t>（二）组织机构代码证复印件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注：供应商按“三证合一”登记制度办理营业执照的，组织机构代码证和税务登记证以供应商所提供的营业执照（副本）复印件为准。</w:t>
      </w:r>
    </w:p>
    <w:p>
      <w:pPr>
        <w:widowControl/>
        <w:spacing w:line="360" w:lineRule="auto"/>
        <w:ind w:firstLine="420" w:firstLineChars="200"/>
        <w:jc w:val="left"/>
        <w:rPr>
          <w:rFonts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（三）法定代表人身份证明书（格式）</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项目名称：</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lang w:val="en-US" w:eastAsia="zh-CN"/>
        </w:rPr>
        <w:t xml:space="preserve">               </w:t>
      </w:r>
      <w:r>
        <w:rPr>
          <w:rFonts w:hint="eastAsia" w:ascii="宋体" w:hAnsi="宋体" w:cs="宋体"/>
          <w:sz w:val="21"/>
          <w:szCs w:val="21"/>
          <w:u w:val="single"/>
        </w:rPr>
        <w:t>（采购人名称）</w:t>
      </w:r>
    </w:p>
    <w:p>
      <w:pPr>
        <w:tabs>
          <w:tab w:val="left" w:pos="6300"/>
        </w:tabs>
        <w:snapToGrid w:val="0"/>
        <w:spacing w:line="360" w:lineRule="auto"/>
        <w:ind w:firstLine="1050" w:firstLineChars="500"/>
        <w:rPr>
          <w:rFonts w:ascii="宋体" w:hAnsi="宋体" w:cs="宋体"/>
          <w:sz w:val="21"/>
          <w:szCs w:val="21"/>
        </w:rPr>
      </w:pPr>
      <w:r>
        <w:rPr>
          <w:rFonts w:hint="eastAsia" w:ascii="宋体" w:hAnsi="宋体" w:cs="宋体"/>
          <w:sz w:val="21"/>
          <w:szCs w:val="21"/>
        </w:rPr>
        <w:t>（法定代表人姓名）在</w:t>
      </w:r>
      <w:r>
        <w:rPr>
          <w:rFonts w:hint="eastAsia" w:ascii="宋体" w:hAnsi="宋体" w:cs="宋体"/>
          <w:sz w:val="21"/>
          <w:szCs w:val="21"/>
          <w:lang w:val="en-US" w:eastAsia="zh-CN"/>
        </w:rPr>
        <w:t xml:space="preserve">        </w:t>
      </w:r>
      <w:r>
        <w:rPr>
          <w:rFonts w:hint="eastAsia" w:ascii="宋体" w:hAnsi="宋体" w:cs="宋体"/>
          <w:sz w:val="21"/>
          <w:szCs w:val="21"/>
        </w:rPr>
        <w:t>（供应商名称）任</w:t>
      </w:r>
      <w:r>
        <w:rPr>
          <w:rFonts w:hint="eastAsia" w:ascii="宋体" w:hAnsi="宋体" w:cs="宋体"/>
          <w:sz w:val="21"/>
          <w:szCs w:val="21"/>
          <w:lang w:val="en-US" w:eastAsia="zh-CN"/>
        </w:rPr>
        <w:t xml:space="preserve">     </w:t>
      </w:r>
      <w:r>
        <w:rPr>
          <w:rFonts w:hint="eastAsia" w:ascii="宋体" w:hAnsi="宋体" w:cs="宋体"/>
          <w:sz w:val="21"/>
          <w:szCs w:val="21"/>
        </w:rPr>
        <w:t>（职务名称）职务，是（供应商名称）的法定代表人。</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特此证明。</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（供应商公章）</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（附：法定代表人身份证双面复印件）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br w:type="column"/>
      </w:r>
      <w:r>
        <w:rPr>
          <w:rFonts w:hint="eastAsia" w:ascii="宋体" w:hAnsi="宋体" w:cs="宋体"/>
          <w:sz w:val="21"/>
          <w:szCs w:val="21"/>
        </w:rPr>
        <w:t>（四）法定代表人授权委托书（格式）</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项目名称：</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（采购人名称）</w:t>
      </w:r>
    </w:p>
    <w:p>
      <w:pPr>
        <w:tabs>
          <w:tab w:val="left" w:pos="6300"/>
        </w:tabs>
        <w:snapToGrid w:val="0"/>
        <w:spacing w:line="360" w:lineRule="auto"/>
        <w:ind w:firstLine="1260" w:firstLineChars="600"/>
        <w:rPr>
          <w:rFonts w:ascii="宋体" w:hAnsi="宋体" w:cs="宋体"/>
          <w:sz w:val="21"/>
          <w:szCs w:val="21"/>
        </w:rPr>
      </w:pPr>
      <w:r>
        <w:rPr>
          <w:rFonts w:hint="eastAsia" w:ascii="宋体" w:hAnsi="宋体" w:cs="宋体"/>
          <w:sz w:val="21"/>
          <w:szCs w:val="21"/>
        </w:rPr>
        <w:t>（供应商法定代表人名称）是</w:t>
      </w:r>
      <w:r>
        <w:rPr>
          <w:rFonts w:hint="eastAsia" w:ascii="宋体" w:hAnsi="宋体" w:cs="宋体"/>
          <w:sz w:val="21"/>
          <w:szCs w:val="21"/>
          <w:lang w:val="en-US" w:eastAsia="zh-CN"/>
        </w:rPr>
        <w:t xml:space="preserve">    </w:t>
      </w:r>
      <w:r>
        <w:rPr>
          <w:rFonts w:hint="eastAsia" w:ascii="宋体" w:hAnsi="宋体" w:cs="宋体"/>
          <w:sz w:val="21"/>
          <w:szCs w:val="21"/>
        </w:rPr>
        <w:t>（供应商名称）的法定代表人，特授权（被授权人姓名及身份证代码）代表我单位全权办理上述项目的询价、签约等具体工作，并签署全部有关文件、协议及合同。</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我单位对被授权人的签字负全部责任。</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被授权人：              </w:t>
      </w:r>
      <w:r>
        <w:rPr>
          <w:rFonts w:hint="eastAsia" w:ascii="宋体" w:hAnsi="宋体" w:cs="宋体"/>
          <w:sz w:val="21"/>
          <w:szCs w:val="21"/>
          <w:lang w:val="en-US" w:eastAsia="zh-CN"/>
        </w:rPr>
        <w:t xml:space="preserve">         </w:t>
      </w:r>
      <w:r>
        <w:rPr>
          <w:rFonts w:hint="eastAsia" w:ascii="宋体" w:hAnsi="宋体" w:cs="宋体"/>
          <w:sz w:val="21"/>
          <w:szCs w:val="21"/>
        </w:rPr>
        <w:t xml:space="preserve">  供应商法定代表人：</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 xml:space="preserve">（签字或盖章）          </w:t>
      </w:r>
      <w:r>
        <w:rPr>
          <w:rFonts w:hint="eastAsia" w:ascii="宋体" w:hAnsi="宋体" w:cs="宋体"/>
          <w:sz w:val="21"/>
          <w:szCs w:val="21"/>
          <w:lang w:val="en-US" w:eastAsia="zh-CN"/>
        </w:rPr>
        <w:t xml:space="preserve">         </w:t>
      </w:r>
      <w:r>
        <w:rPr>
          <w:rFonts w:hint="eastAsia" w:ascii="宋体" w:hAnsi="宋体" w:cs="宋体"/>
          <w:sz w:val="21"/>
          <w:szCs w:val="21"/>
        </w:rPr>
        <w:t xml:space="preserve"> （签字或盖章）</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t>（附：被授权人身份证双面复印件）</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（供应商公章）</w:t>
      </w:r>
    </w:p>
    <w:p>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年  月  日</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sz w:val="21"/>
          <w:szCs w:val="21"/>
        </w:rPr>
        <w:br w:type="column"/>
      </w:r>
      <w:r>
        <w:rPr>
          <w:rFonts w:hint="eastAsia" w:ascii="宋体" w:hAnsi="宋体" w:cs="宋体"/>
          <w:sz w:val="21"/>
          <w:szCs w:val="21"/>
        </w:rPr>
        <w:t>（五）</w:t>
      </w:r>
      <w:r>
        <w:rPr>
          <w:rFonts w:hint="eastAsia" w:ascii="宋体" w:hAnsi="宋体" w:cs="宋体"/>
          <w:kern w:val="0"/>
          <w:sz w:val="21"/>
          <w:szCs w:val="21"/>
        </w:rPr>
        <w:t>1.提供上一年度财务状况报告（表）或其基本开户银行出具的资信证明（提供复印件）。</w:t>
      </w:r>
    </w:p>
    <w:p>
      <w:pPr>
        <w:snapToGrid w:val="0"/>
        <w:spacing w:line="360" w:lineRule="auto"/>
        <w:ind w:firstLine="420" w:firstLineChars="200"/>
        <w:rPr>
          <w:rFonts w:hint="eastAsia" w:ascii="宋体" w:hAnsi="宋体" w:cs="宋体"/>
          <w:kern w:val="0"/>
          <w:sz w:val="21"/>
          <w:szCs w:val="21"/>
        </w:rPr>
      </w:pPr>
      <w:r>
        <w:rPr>
          <w:rFonts w:hint="eastAsia" w:ascii="宋体" w:hAnsi="宋体" w:cs="宋体"/>
          <w:kern w:val="0"/>
          <w:sz w:val="21"/>
          <w:szCs w:val="21"/>
        </w:rPr>
        <w:t>2.本年度新成立或成立不满一年的组织和自然人无法提供财务状况报告（表）的，可提供银行出具的资信证明（提供复印件）。</w:t>
      </w:r>
    </w:p>
    <w:p>
      <w:pPr>
        <w:tabs>
          <w:tab w:val="left" w:pos="6300"/>
        </w:tabs>
        <w:snapToGrid w:val="0"/>
        <w:spacing w:line="360" w:lineRule="auto"/>
        <w:ind w:firstLine="570"/>
        <w:rPr>
          <w:rFonts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（六）书面声明</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项目名称：</w:t>
      </w:r>
    </w:p>
    <w:p>
      <w:pPr>
        <w:tabs>
          <w:tab w:val="left" w:pos="6300"/>
        </w:tabs>
        <w:snapToGrid w:val="0"/>
        <w:spacing w:line="360" w:lineRule="auto"/>
        <w:ind w:firstLine="57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（采购人名称） </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 “政府采购严重违法失信名单”中，也未列入中国政府采购网（www.ccgp.gov.cn）“政府采购严重违法失信行为记录名单”中，并随时接受采购人、采购代理机构的检查验证，符合《政府采购法》规定的</w:t>
      </w:r>
      <w:r>
        <w:rPr>
          <w:rFonts w:hint="eastAsia" w:ascii="宋体" w:hAnsi="宋体" w:cs="宋体"/>
          <w:sz w:val="21"/>
          <w:szCs w:val="21"/>
          <w:lang w:val="en-US" w:eastAsia="zh-CN"/>
        </w:rPr>
        <w:t>供应商</w:t>
      </w:r>
      <w:r>
        <w:rPr>
          <w:rFonts w:hint="eastAsia" w:ascii="宋体" w:hAnsi="宋体" w:cs="宋体"/>
          <w:sz w:val="21"/>
          <w:szCs w:val="21"/>
        </w:rPr>
        <w:t>资格条件。我方对以上声明负全部法律责任。</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特此声明。</w:t>
      </w:r>
    </w:p>
    <w:p>
      <w:pPr>
        <w:pStyle w:val="193"/>
        <w:spacing w:line="360" w:lineRule="auto"/>
        <w:ind w:firstLine="420" w:firstLineChars="200"/>
        <w:rPr>
          <w:rFonts w:hAnsi="宋体"/>
        </w:rPr>
      </w:pPr>
    </w:p>
    <w:p>
      <w:pPr>
        <w:tabs>
          <w:tab w:val="left" w:pos="6300"/>
        </w:tabs>
        <w:snapToGrid w:val="0"/>
        <w:spacing w:line="360" w:lineRule="auto"/>
        <w:rPr>
          <w:rFonts w:ascii="宋体" w:hAnsi="宋体" w:cs="宋体"/>
          <w:sz w:val="21"/>
          <w:szCs w:val="21"/>
        </w:rPr>
      </w:pPr>
    </w:p>
    <w:p>
      <w:pPr>
        <w:tabs>
          <w:tab w:val="left" w:pos="6300"/>
        </w:tabs>
        <w:snapToGrid w:val="0"/>
        <w:spacing w:line="360" w:lineRule="auto"/>
        <w:ind w:right="424" w:firstLine="570"/>
        <w:jc w:val="right"/>
        <w:rPr>
          <w:rFonts w:ascii="宋体" w:hAnsi="宋体" w:cs="宋体"/>
          <w:sz w:val="21"/>
          <w:szCs w:val="21"/>
        </w:rPr>
      </w:pPr>
      <w:r>
        <w:rPr>
          <w:rFonts w:hint="eastAsia" w:ascii="宋体" w:hAnsi="宋体" w:cs="宋体"/>
          <w:sz w:val="21"/>
          <w:szCs w:val="21"/>
        </w:rPr>
        <w:t>（供应商公章）</w:t>
      </w:r>
    </w:p>
    <w:p>
      <w:pPr>
        <w:tabs>
          <w:tab w:val="left" w:pos="6300"/>
        </w:tabs>
        <w:snapToGrid w:val="0"/>
        <w:spacing w:line="360" w:lineRule="auto"/>
        <w:ind w:right="480" w:firstLine="570"/>
        <w:jc w:val="right"/>
        <w:rPr>
          <w:rFonts w:ascii="宋体" w:hAnsi="宋体" w:cs="宋体"/>
          <w:sz w:val="21"/>
          <w:szCs w:val="21"/>
        </w:rPr>
      </w:pPr>
      <w:r>
        <w:rPr>
          <w:rFonts w:hint="eastAsia" w:ascii="宋体" w:hAnsi="宋体" w:cs="宋体"/>
          <w:sz w:val="21"/>
          <w:szCs w:val="21"/>
        </w:rPr>
        <w:t>年  月  日</w:t>
      </w: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br w:type="page"/>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（七）税务登记证（副本）复印件和社会保险缴纳证明材料</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r>
        <w:rPr>
          <w:rFonts w:hint="eastAsia" w:ascii="宋体" w:hAnsi="宋体" w:cs="宋体"/>
          <w:sz w:val="21"/>
          <w:szCs w:val="21"/>
        </w:rPr>
        <w:t>说明：供应商按“三证合一”登记制度办理营业执照的，组织机构代码证和税务登记证以供应商所提供的营业执照（副本）复印件为准。</w:t>
      </w:r>
    </w:p>
    <w:p>
      <w:pPr>
        <w:tabs>
          <w:tab w:val="left" w:pos="6300"/>
        </w:tabs>
        <w:snapToGrid w:val="0"/>
        <w:spacing w:line="360" w:lineRule="auto"/>
        <w:ind w:firstLine="420" w:firstLineChars="200"/>
        <w:rPr>
          <w:rFonts w:ascii="宋体" w:hAnsi="宋体" w:cs="宋体"/>
          <w:sz w:val="21"/>
          <w:szCs w:val="21"/>
        </w:rPr>
      </w:pP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br w:type="page"/>
      </w:r>
    </w:p>
    <w:p>
      <w:pPr>
        <w:snapToGrid w:val="0"/>
        <w:spacing w:line="360" w:lineRule="auto"/>
        <w:ind w:firstLine="420" w:firstLineChars="200"/>
        <w:rPr>
          <w:rFonts w:ascii="宋体" w:hAnsi="宋体" w:cs="宋体"/>
          <w:sz w:val="21"/>
          <w:szCs w:val="21"/>
        </w:rPr>
      </w:pPr>
    </w:p>
    <w:p>
      <w:pPr>
        <w:snapToGrid w:val="0"/>
        <w:spacing w:line="360" w:lineRule="auto"/>
        <w:ind w:firstLine="420" w:firstLineChars="200"/>
        <w:rPr>
          <w:rFonts w:ascii="宋体" w:hAnsi="宋体" w:cs="宋体"/>
          <w:sz w:val="21"/>
          <w:szCs w:val="21"/>
        </w:rPr>
      </w:pP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（八）特定资格条件证明文件（按询价通知书第一篇第三条第（二）项要求提供）</w:t>
      </w:r>
    </w:p>
    <w:p>
      <w:pPr>
        <w:tabs>
          <w:tab w:val="left" w:pos="6300"/>
        </w:tabs>
        <w:snapToGrid w:val="0"/>
        <w:spacing w:line="360" w:lineRule="auto"/>
        <w:ind w:firstLine="420" w:firstLineChars="200"/>
        <w:rPr>
          <w:rFonts w:ascii="宋体" w:hAnsi="宋体" w:cs="宋体"/>
          <w:sz w:val="21"/>
          <w:szCs w:val="21"/>
        </w:rPr>
      </w:pPr>
    </w:p>
    <w:p>
      <w:pPr>
        <w:tabs>
          <w:tab w:val="left" w:pos="6300"/>
        </w:tabs>
        <w:snapToGrid w:val="0"/>
        <w:spacing w:line="360" w:lineRule="auto"/>
        <w:ind w:firstLine="420" w:firstLineChars="200"/>
        <w:rPr>
          <w:rFonts w:ascii="宋体" w:hAnsi="宋体" w:cs="宋体"/>
          <w:sz w:val="21"/>
          <w:szCs w:val="21"/>
        </w:rPr>
      </w:pPr>
    </w:p>
    <w:p>
      <w:pPr>
        <w:pStyle w:val="229"/>
        <w:ind w:left="0" w:leftChars="0" w:firstLine="0" w:firstLineChars="0"/>
        <w:jc w:val="left"/>
        <w:rPr>
          <w:rFonts w:hint="eastAsia" w:ascii="宋体" w:hAnsi="宋体" w:cs="宋体"/>
          <w:b/>
          <w:bCs/>
          <w:sz w:val="32"/>
          <w:szCs w:val="32"/>
        </w:rPr>
      </w:pPr>
      <w:r>
        <w:rPr>
          <w:rFonts w:hint="eastAsia" w:ascii="宋体" w:hAnsi="宋体" w:cs="宋体"/>
          <w:b/>
          <w:sz w:val="21"/>
          <w:szCs w:val="21"/>
        </w:rPr>
        <w:br w:type="page"/>
      </w:r>
      <w:bookmarkStart w:id="201" w:name="_Toc521318196"/>
      <w:bookmarkStart w:id="202" w:name="_Toc25445"/>
      <w:bookmarkStart w:id="203" w:name="_Toc27049"/>
      <w:bookmarkStart w:id="204" w:name="_Toc486608281"/>
      <w:bookmarkStart w:id="205" w:name="_Toc486585244"/>
      <w:bookmarkStart w:id="206" w:name="_Toc17925"/>
      <w:bookmarkStart w:id="207" w:name="_Toc487204801"/>
      <w:r>
        <w:rPr>
          <w:rFonts w:hint="eastAsia" w:ascii="宋体" w:hAnsi="宋体" w:cs="宋体"/>
          <w:b/>
          <w:bCs/>
          <w:sz w:val="32"/>
          <w:szCs w:val="32"/>
        </w:rPr>
        <w:t>五、其他应提供的资料</w:t>
      </w:r>
      <w:bookmarkEnd w:id="201"/>
      <w:bookmarkEnd w:id="202"/>
      <w:bookmarkEnd w:id="203"/>
      <w:bookmarkEnd w:id="204"/>
      <w:bookmarkEnd w:id="205"/>
      <w:bookmarkEnd w:id="206"/>
      <w:bookmarkEnd w:id="207"/>
    </w:p>
    <w:p/>
    <w:p>
      <w:pPr>
        <w:pStyle w:val="2"/>
        <w:numPr>
          <w:ilvl w:val="0"/>
          <w:numId w:val="0"/>
        </w:numPr>
        <w:rPr>
          <w:rFonts w:hint="eastAsia"/>
        </w:rPr>
      </w:pPr>
    </w:p>
    <w:sectPr>
      <w:headerReference r:id="rId8" w:type="default"/>
      <w:footerReference r:id="rId9" w:type="default"/>
      <w:pgSz w:w="11906" w:h="16838"/>
      <w:pgMar w:top="1134" w:right="1191" w:bottom="1134" w:left="1304"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8C92094-EAA6-4B7E-9B53-C596EE64647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25E51338-4D1B-496B-AB2D-1851A193FFC1}"/>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swiss"/>
    <w:pitch w:val="default"/>
    <w:sig w:usb0="00000000" w:usb1="00000000" w:usb2="00000000" w:usb3="00000000" w:csb0="00000001" w:csb1="00000000"/>
  </w:font>
  <w:font w:name="Geneva">
    <w:altName w:val="Arial"/>
    <w:panose1 w:val="00000000000000000000"/>
    <w:charset w:val="00"/>
    <w:family w:val="auto"/>
    <w:pitch w:val="default"/>
    <w:sig w:usb0="00000000" w:usb1="00000000" w:usb2="00000000" w:usb3="00000000" w:csb0="00000000" w:csb1="00000000"/>
    <w:embedRegular r:id="rId3" w:fontKey="{0CA1291C-1154-4BD4-8A5F-976F4AC1DE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sz w:val="21"/>
        <w:szCs w:val="21"/>
      </w:rPr>
    </w:pPr>
    <w:r>
      <w:rPr>
        <w:rStyle w:val="61"/>
        <w:rFonts w:ascii="宋体" w:hAnsi="宋体" w:cs="宋体"/>
        <w:sz w:val="21"/>
        <w:szCs w:val="21"/>
      </w:rPr>
      <w:fldChar w:fldCharType="begin"/>
    </w:r>
    <w:r>
      <w:rPr>
        <w:rStyle w:val="61"/>
        <w:rFonts w:ascii="宋体" w:hAnsi="宋体" w:cs="宋体"/>
        <w:sz w:val="21"/>
        <w:szCs w:val="21"/>
      </w:rPr>
      <w:instrText xml:space="preserve"> PAGE </w:instrText>
    </w:r>
    <w:r>
      <w:rPr>
        <w:rStyle w:val="61"/>
        <w:rFonts w:ascii="宋体" w:hAnsi="宋体" w:cs="宋体"/>
        <w:sz w:val="21"/>
        <w:szCs w:val="21"/>
      </w:rPr>
      <w:fldChar w:fldCharType="separate"/>
    </w:r>
    <w:r>
      <w:rPr>
        <w:rStyle w:val="61"/>
        <w:rFonts w:ascii="宋体" w:hAnsi="宋体" w:cs="宋体"/>
        <w:sz w:val="21"/>
        <w:szCs w:val="21"/>
      </w:rPr>
      <w:t>- 25 -</w:t>
    </w:r>
    <w:r>
      <w:rPr>
        <w:rStyle w:val="61"/>
        <w:rFonts w:ascii="宋体" w:hAnsi="宋体" w:cs="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6"/>
                          </w:pPr>
                          <w:r>
                            <w:fldChar w:fldCharType="begin"/>
                          </w:r>
                          <w:r>
                            <w:instrText xml:space="preserve"> PAGE  \* MERGEFORMAT </w:instrText>
                          </w:r>
                          <w:r>
                            <w:fldChar w:fldCharType="separate"/>
                          </w:r>
                          <w:r>
                            <w:t>- 36 -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- 36 -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Theme="majorEastAsia" w:hAnsiTheme="majorEastAsia" w:eastAsiaTheme="majorEastAsia"/>
        <w:sz w:val="24"/>
        <w:szCs w:val="24"/>
      </w:rPr>
    </w:pPr>
    <w:r>
      <w:rPr>
        <w:rFonts w:hint="eastAsia" w:asciiTheme="majorEastAsia" w:hAnsiTheme="majorEastAsia" w:eastAsiaTheme="majorEastAsia"/>
        <w:sz w:val="24"/>
        <w:szCs w:val="24"/>
      </w:rPr>
      <w:t>重庆宏仁招标代理有限公司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仿宋" w:hAnsi="仿宋" w:eastAsia="仿宋"/>
        <w:sz w:val="21"/>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35C4C"/>
    <w:multiLevelType w:val="singleLevel"/>
    <w:tmpl w:val="AAD35C4C"/>
    <w:lvl w:ilvl="0" w:tentative="0">
      <w:start w:val="2"/>
      <w:numFmt w:val="chineseCounting"/>
      <w:suff w:val="nothing"/>
      <w:lvlText w:val="（%1）"/>
      <w:lvlJc w:val="left"/>
      <w:rPr>
        <w:rFonts w:hint="eastAsia"/>
      </w:rPr>
    </w:lvl>
  </w:abstractNum>
  <w:abstractNum w:abstractNumId="1">
    <w:nsid w:val="13E72CC4"/>
    <w:multiLevelType w:val="multilevel"/>
    <w:tmpl w:val="13E72CC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TrueTypeFonts/>
  <w:saveSubsetFonts/>
  <w:bordersDoNotSurroundHeader w:val="1"/>
  <w:bordersDoNotSurroundFooter w:val="1"/>
  <w:hideSpellingErrors/>
  <w:documentProtection w:enforcement="0"/>
  <w:defaultTabStop w:val="420"/>
  <w:drawingGridHorizontalSpacing w:val="140"/>
  <w:drawingGridVerticalSpacing w:val="-7946"/>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19"/>
    <w:rsid w:val="00000319"/>
    <w:rsid w:val="00000368"/>
    <w:rsid w:val="00004688"/>
    <w:rsid w:val="00014D07"/>
    <w:rsid w:val="00022A7B"/>
    <w:rsid w:val="0002327E"/>
    <w:rsid w:val="00024FE2"/>
    <w:rsid w:val="000336C1"/>
    <w:rsid w:val="00033BFE"/>
    <w:rsid w:val="00036FDE"/>
    <w:rsid w:val="00045C12"/>
    <w:rsid w:val="0004785A"/>
    <w:rsid w:val="00053B69"/>
    <w:rsid w:val="00057183"/>
    <w:rsid w:val="0005797C"/>
    <w:rsid w:val="000602B3"/>
    <w:rsid w:val="000721B2"/>
    <w:rsid w:val="00072D3E"/>
    <w:rsid w:val="00081091"/>
    <w:rsid w:val="0008426E"/>
    <w:rsid w:val="00090BB5"/>
    <w:rsid w:val="00097894"/>
    <w:rsid w:val="000A1BDD"/>
    <w:rsid w:val="000A44A7"/>
    <w:rsid w:val="000B527B"/>
    <w:rsid w:val="000C4540"/>
    <w:rsid w:val="000D76B2"/>
    <w:rsid w:val="000F06E3"/>
    <w:rsid w:val="000F2137"/>
    <w:rsid w:val="000F5E11"/>
    <w:rsid w:val="00101A85"/>
    <w:rsid w:val="00105BA1"/>
    <w:rsid w:val="00114431"/>
    <w:rsid w:val="00123B0F"/>
    <w:rsid w:val="00126333"/>
    <w:rsid w:val="00134C69"/>
    <w:rsid w:val="00141C4A"/>
    <w:rsid w:val="0014439D"/>
    <w:rsid w:val="0014640B"/>
    <w:rsid w:val="001562E2"/>
    <w:rsid w:val="00164096"/>
    <w:rsid w:val="00171C18"/>
    <w:rsid w:val="001749C0"/>
    <w:rsid w:val="00174BFA"/>
    <w:rsid w:val="001753DB"/>
    <w:rsid w:val="001766C4"/>
    <w:rsid w:val="00182BE2"/>
    <w:rsid w:val="001837DA"/>
    <w:rsid w:val="00185F6E"/>
    <w:rsid w:val="001A0253"/>
    <w:rsid w:val="001C60F9"/>
    <w:rsid w:val="001D3500"/>
    <w:rsid w:val="001D4DA4"/>
    <w:rsid w:val="001D59B3"/>
    <w:rsid w:val="001E16A4"/>
    <w:rsid w:val="001E16EC"/>
    <w:rsid w:val="001E53D4"/>
    <w:rsid w:val="001F056A"/>
    <w:rsid w:val="00205B31"/>
    <w:rsid w:val="002160E8"/>
    <w:rsid w:val="0022095B"/>
    <w:rsid w:val="00220D27"/>
    <w:rsid w:val="00222CA8"/>
    <w:rsid w:val="00232184"/>
    <w:rsid w:val="00243026"/>
    <w:rsid w:val="0024623F"/>
    <w:rsid w:val="00247138"/>
    <w:rsid w:val="002521A3"/>
    <w:rsid w:val="0026410D"/>
    <w:rsid w:val="00277E54"/>
    <w:rsid w:val="00282EDB"/>
    <w:rsid w:val="002901FD"/>
    <w:rsid w:val="002A5DFC"/>
    <w:rsid w:val="002B3CD3"/>
    <w:rsid w:val="002B4120"/>
    <w:rsid w:val="002B6605"/>
    <w:rsid w:val="002C1DCD"/>
    <w:rsid w:val="002C1F68"/>
    <w:rsid w:val="002C3BAB"/>
    <w:rsid w:val="002C4B2B"/>
    <w:rsid w:val="002C61AE"/>
    <w:rsid w:val="002D1496"/>
    <w:rsid w:val="002D2434"/>
    <w:rsid w:val="002F33B6"/>
    <w:rsid w:val="00301DED"/>
    <w:rsid w:val="00302F55"/>
    <w:rsid w:val="00317AEF"/>
    <w:rsid w:val="00342ADC"/>
    <w:rsid w:val="00347B4F"/>
    <w:rsid w:val="00354E5A"/>
    <w:rsid w:val="00365434"/>
    <w:rsid w:val="00374994"/>
    <w:rsid w:val="00374CCE"/>
    <w:rsid w:val="00382A72"/>
    <w:rsid w:val="003A30E3"/>
    <w:rsid w:val="003A5E69"/>
    <w:rsid w:val="003B6F14"/>
    <w:rsid w:val="003C20AF"/>
    <w:rsid w:val="003C7261"/>
    <w:rsid w:val="003C7F2E"/>
    <w:rsid w:val="003D422C"/>
    <w:rsid w:val="004137D4"/>
    <w:rsid w:val="00413AB1"/>
    <w:rsid w:val="0041461B"/>
    <w:rsid w:val="00427D28"/>
    <w:rsid w:val="004336E6"/>
    <w:rsid w:val="00444C55"/>
    <w:rsid w:val="00446102"/>
    <w:rsid w:val="00455A39"/>
    <w:rsid w:val="0045711D"/>
    <w:rsid w:val="004620AC"/>
    <w:rsid w:val="00462B10"/>
    <w:rsid w:val="004736C2"/>
    <w:rsid w:val="004848AD"/>
    <w:rsid w:val="004917CF"/>
    <w:rsid w:val="00493B77"/>
    <w:rsid w:val="004C1FE0"/>
    <w:rsid w:val="004C4511"/>
    <w:rsid w:val="004D30C4"/>
    <w:rsid w:val="004D6C38"/>
    <w:rsid w:val="004D72ED"/>
    <w:rsid w:val="004E1AE2"/>
    <w:rsid w:val="004F0A72"/>
    <w:rsid w:val="004F53EE"/>
    <w:rsid w:val="004F70FA"/>
    <w:rsid w:val="00504F37"/>
    <w:rsid w:val="00513BFD"/>
    <w:rsid w:val="0052599F"/>
    <w:rsid w:val="005269A2"/>
    <w:rsid w:val="00531BD7"/>
    <w:rsid w:val="005330FB"/>
    <w:rsid w:val="005365D1"/>
    <w:rsid w:val="005412B1"/>
    <w:rsid w:val="0054484F"/>
    <w:rsid w:val="00550FE8"/>
    <w:rsid w:val="0055428F"/>
    <w:rsid w:val="00560C80"/>
    <w:rsid w:val="00565584"/>
    <w:rsid w:val="00565742"/>
    <w:rsid w:val="005905C7"/>
    <w:rsid w:val="0059295A"/>
    <w:rsid w:val="00597DFA"/>
    <w:rsid w:val="005B6ABC"/>
    <w:rsid w:val="005C22F1"/>
    <w:rsid w:val="005D5C9F"/>
    <w:rsid w:val="005E0719"/>
    <w:rsid w:val="005E4C6D"/>
    <w:rsid w:val="005F09AD"/>
    <w:rsid w:val="005F42C6"/>
    <w:rsid w:val="005F630A"/>
    <w:rsid w:val="005F67E7"/>
    <w:rsid w:val="005F6E84"/>
    <w:rsid w:val="0060512C"/>
    <w:rsid w:val="00624D14"/>
    <w:rsid w:val="00636291"/>
    <w:rsid w:val="006369D7"/>
    <w:rsid w:val="00647AC9"/>
    <w:rsid w:val="006549B7"/>
    <w:rsid w:val="00674A8E"/>
    <w:rsid w:val="00695377"/>
    <w:rsid w:val="006B1832"/>
    <w:rsid w:val="006B2E11"/>
    <w:rsid w:val="006B4C7A"/>
    <w:rsid w:val="006B4F12"/>
    <w:rsid w:val="006C085D"/>
    <w:rsid w:val="006D2DFB"/>
    <w:rsid w:val="006D43C2"/>
    <w:rsid w:val="006D78EC"/>
    <w:rsid w:val="006F6B4A"/>
    <w:rsid w:val="0071182A"/>
    <w:rsid w:val="007329A0"/>
    <w:rsid w:val="00764D49"/>
    <w:rsid w:val="00771881"/>
    <w:rsid w:val="00777800"/>
    <w:rsid w:val="00786C96"/>
    <w:rsid w:val="0079163A"/>
    <w:rsid w:val="007945C1"/>
    <w:rsid w:val="007A5D30"/>
    <w:rsid w:val="007F1D91"/>
    <w:rsid w:val="00805B96"/>
    <w:rsid w:val="00805FF5"/>
    <w:rsid w:val="008162BD"/>
    <w:rsid w:val="0082139E"/>
    <w:rsid w:val="00824CE9"/>
    <w:rsid w:val="008302B7"/>
    <w:rsid w:val="008323CD"/>
    <w:rsid w:val="00841441"/>
    <w:rsid w:val="00844F17"/>
    <w:rsid w:val="00850B74"/>
    <w:rsid w:val="0087644E"/>
    <w:rsid w:val="008815BE"/>
    <w:rsid w:val="00893F57"/>
    <w:rsid w:val="008971E3"/>
    <w:rsid w:val="008A1E79"/>
    <w:rsid w:val="008A5F1A"/>
    <w:rsid w:val="008C3065"/>
    <w:rsid w:val="008C4B69"/>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844EB"/>
    <w:rsid w:val="009B1BF8"/>
    <w:rsid w:val="009B74E8"/>
    <w:rsid w:val="009C0331"/>
    <w:rsid w:val="009C0F88"/>
    <w:rsid w:val="009D18FF"/>
    <w:rsid w:val="00A03F3C"/>
    <w:rsid w:val="00A11428"/>
    <w:rsid w:val="00A12E29"/>
    <w:rsid w:val="00A142CA"/>
    <w:rsid w:val="00A15E98"/>
    <w:rsid w:val="00A22DAA"/>
    <w:rsid w:val="00A23346"/>
    <w:rsid w:val="00A30E3C"/>
    <w:rsid w:val="00A31251"/>
    <w:rsid w:val="00A357EF"/>
    <w:rsid w:val="00A445D4"/>
    <w:rsid w:val="00A51D1D"/>
    <w:rsid w:val="00A61352"/>
    <w:rsid w:val="00A75E2C"/>
    <w:rsid w:val="00A77F4B"/>
    <w:rsid w:val="00AA2561"/>
    <w:rsid w:val="00AA2B88"/>
    <w:rsid w:val="00AA7DFC"/>
    <w:rsid w:val="00AC18F3"/>
    <w:rsid w:val="00AC2CE9"/>
    <w:rsid w:val="00AD4B7F"/>
    <w:rsid w:val="00AD7A96"/>
    <w:rsid w:val="00AE289B"/>
    <w:rsid w:val="00AE74BD"/>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A2FF4"/>
    <w:rsid w:val="00BA3C88"/>
    <w:rsid w:val="00BC2E63"/>
    <w:rsid w:val="00BC2FCD"/>
    <w:rsid w:val="00BD7BA1"/>
    <w:rsid w:val="00BE1FBC"/>
    <w:rsid w:val="00BE63A2"/>
    <w:rsid w:val="00BE6F6E"/>
    <w:rsid w:val="00BF30B4"/>
    <w:rsid w:val="00BF38D2"/>
    <w:rsid w:val="00BF4DAD"/>
    <w:rsid w:val="00BF720C"/>
    <w:rsid w:val="00C34CBE"/>
    <w:rsid w:val="00C44836"/>
    <w:rsid w:val="00C55693"/>
    <w:rsid w:val="00C57273"/>
    <w:rsid w:val="00C623CA"/>
    <w:rsid w:val="00C757AD"/>
    <w:rsid w:val="00C9309C"/>
    <w:rsid w:val="00CA2DD8"/>
    <w:rsid w:val="00CA4729"/>
    <w:rsid w:val="00CA5F54"/>
    <w:rsid w:val="00CA7DDF"/>
    <w:rsid w:val="00CB7A74"/>
    <w:rsid w:val="00CE00EA"/>
    <w:rsid w:val="00CE200B"/>
    <w:rsid w:val="00CE347B"/>
    <w:rsid w:val="00CE37CE"/>
    <w:rsid w:val="00CE73E1"/>
    <w:rsid w:val="00CF1E73"/>
    <w:rsid w:val="00D00272"/>
    <w:rsid w:val="00D14D53"/>
    <w:rsid w:val="00D27883"/>
    <w:rsid w:val="00D3201B"/>
    <w:rsid w:val="00D373C9"/>
    <w:rsid w:val="00D37AA5"/>
    <w:rsid w:val="00D47101"/>
    <w:rsid w:val="00D74A13"/>
    <w:rsid w:val="00D76A45"/>
    <w:rsid w:val="00D777C2"/>
    <w:rsid w:val="00D84535"/>
    <w:rsid w:val="00D86984"/>
    <w:rsid w:val="00D90EFF"/>
    <w:rsid w:val="00D962A5"/>
    <w:rsid w:val="00DA359C"/>
    <w:rsid w:val="00DB0F08"/>
    <w:rsid w:val="00DB3088"/>
    <w:rsid w:val="00DB5246"/>
    <w:rsid w:val="00DB5373"/>
    <w:rsid w:val="00DC2002"/>
    <w:rsid w:val="00DC366D"/>
    <w:rsid w:val="00DC3BC0"/>
    <w:rsid w:val="00DE0323"/>
    <w:rsid w:val="00DE4B32"/>
    <w:rsid w:val="00DE7D9A"/>
    <w:rsid w:val="00DF193D"/>
    <w:rsid w:val="00E02A1E"/>
    <w:rsid w:val="00E21AB6"/>
    <w:rsid w:val="00E3158C"/>
    <w:rsid w:val="00E34691"/>
    <w:rsid w:val="00E44C59"/>
    <w:rsid w:val="00E44EB3"/>
    <w:rsid w:val="00E51B99"/>
    <w:rsid w:val="00E646D2"/>
    <w:rsid w:val="00E7399D"/>
    <w:rsid w:val="00E90470"/>
    <w:rsid w:val="00EA4E89"/>
    <w:rsid w:val="00EA5EC5"/>
    <w:rsid w:val="00EC1D52"/>
    <w:rsid w:val="00ED338D"/>
    <w:rsid w:val="00EE34BE"/>
    <w:rsid w:val="00EF6C58"/>
    <w:rsid w:val="00F037C6"/>
    <w:rsid w:val="00F0541E"/>
    <w:rsid w:val="00F112E2"/>
    <w:rsid w:val="00F13204"/>
    <w:rsid w:val="00F155CB"/>
    <w:rsid w:val="00F41E13"/>
    <w:rsid w:val="00F47405"/>
    <w:rsid w:val="00F5019D"/>
    <w:rsid w:val="00F502E7"/>
    <w:rsid w:val="00F73001"/>
    <w:rsid w:val="00F84D5B"/>
    <w:rsid w:val="00F8518C"/>
    <w:rsid w:val="00F9349C"/>
    <w:rsid w:val="00F96177"/>
    <w:rsid w:val="00F977A6"/>
    <w:rsid w:val="00FA4B57"/>
    <w:rsid w:val="00FB5BE8"/>
    <w:rsid w:val="00FC14BC"/>
    <w:rsid w:val="00FC4552"/>
    <w:rsid w:val="00FC77FC"/>
    <w:rsid w:val="00FD0E32"/>
    <w:rsid w:val="00FE302D"/>
    <w:rsid w:val="00FE6998"/>
    <w:rsid w:val="00FF1A33"/>
    <w:rsid w:val="00FF525E"/>
    <w:rsid w:val="00FF7E36"/>
    <w:rsid w:val="0161624F"/>
    <w:rsid w:val="02AB523C"/>
    <w:rsid w:val="040F4421"/>
    <w:rsid w:val="04BC751C"/>
    <w:rsid w:val="05C3591F"/>
    <w:rsid w:val="0738519A"/>
    <w:rsid w:val="08315013"/>
    <w:rsid w:val="09560D8F"/>
    <w:rsid w:val="09722673"/>
    <w:rsid w:val="0A0177C6"/>
    <w:rsid w:val="0A256ED7"/>
    <w:rsid w:val="0A9A08F5"/>
    <w:rsid w:val="0BA2197F"/>
    <w:rsid w:val="0BAE182D"/>
    <w:rsid w:val="0BDB44DF"/>
    <w:rsid w:val="0D9D4E10"/>
    <w:rsid w:val="0DAB60A4"/>
    <w:rsid w:val="0F247BCA"/>
    <w:rsid w:val="11114D29"/>
    <w:rsid w:val="12312B61"/>
    <w:rsid w:val="12473DD0"/>
    <w:rsid w:val="132D4812"/>
    <w:rsid w:val="13875C69"/>
    <w:rsid w:val="147D128D"/>
    <w:rsid w:val="15110423"/>
    <w:rsid w:val="15987B25"/>
    <w:rsid w:val="15AB4196"/>
    <w:rsid w:val="1763474C"/>
    <w:rsid w:val="18817829"/>
    <w:rsid w:val="1A372F8E"/>
    <w:rsid w:val="1AD15D12"/>
    <w:rsid w:val="1B930518"/>
    <w:rsid w:val="1C72431E"/>
    <w:rsid w:val="1C8A6274"/>
    <w:rsid w:val="1CE354EA"/>
    <w:rsid w:val="1E6A7BD1"/>
    <w:rsid w:val="1E790A01"/>
    <w:rsid w:val="2180296B"/>
    <w:rsid w:val="21F12992"/>
    <w:rsid w:val="228E449A"/>
    <w:rsid w:val="22D20BB5"/>
    <w:rsid w:val="238652B7"/>
    <w:rsid w:val="24B453F2"/>
    <w:rsid w:val="256A6F10"/>
    <w:rsid w:val="273643DA"/>
    <w:rsid w:val="282E3F78"/>
    <w:rsid w:val="291822E7"/>
    <w:rsid w:val="296251C6"/>
    <w:rsid w:val="2CC34CE4"/>
    <w:rsid w:val="2CEF32BE"/>
    <w:rsid w:val="2E350800"/>
    <w:rsid w:val="2E465897"/>
    <w:rsid w:val="2E5F5FEB"/>
    <w:rsid w:val="2EF23281"/>
    <w:rsid w:val="2EF25559"/>
    <w:rsid w:val="2FBD21B0"/>
    <w:rsid w:val="2FC00C43"/>
    <w:rsid w:val="2FEC65B2"/>
    <w:rsid w:val="301033BF"/>
    <w:rsid w:val="32FB69AE"/>
    <w:rsid w:val="33E068FE"/>
    <w:rsid w:val="39541A79"/>
    <w:rsid w:val="399C1FD3"/>
    <w:rsid w:val="3A375ABE"/>
    <w:rsid w:val="3A3D7A35"/>
    <w:rsid w:val="3D6120B8"/>
    <w:rsid w:val="3E8D761F"/>
    <w:rsid w:val="3FD339A9"/>
    <w:rsid w:val="400F6881"/>
    <w:rsid w:val="41692C75"/>
    <w:rsid w:val="41B338B2"/>
    <w:rsid w:val="41DC6FBF"/>
    <w:rsid w:val="43DC3D35"/>
    <w:rsid w:val="44114246"/>
    <w:rsid w:val="44C5079E"/>
    <w:rsid w:val="47725383"/>
    <w:rsid w:val="483C70E8"/>
    <w:rsid w:val="4A0D00E9"/>
    <w:rsid w:val="4A6E45AC"/>
    <w:rsid w:val="4B0D4E9A"/>
    <w:rsid w:val="4B2831CC"/>
    <w:rsid w:val="4CC565C3"/>
    <w:rsid w:val="4E271833"/>
    <w:rsid w:val="4FD067A1"/>
    <w:rsid w:val="50686EAE"/>
    <w:rsid w:val="511A1BE8"/>
    <w:rsid w:val="56564812"/>
    <w:rsid w:val="57C94496"/>
    <w:rsid w:val="58D07B1B"/>
    <w:rsid w:val="58EB5961"/>
    <w:rsid w:val="59F10A0D"/>
    <w:rsid w:val="5A612F7B"/>
    <w:rsid w:val="5A827ACD"/>
    <w:rsid w:val="5ABC0BA4"/>
    <w:rsid w:val="5AE353CC"/>
    <w:rsid w:val="5BC922D1"/>
    <w:rsid w:val="5C3B49D6"/>
    <w:rsid w:val="5CF45488"/>
    <w:rsid w:val="5D581137"/>
    <w:rsid w:val="5EFD0BAE"/>
    <w:rsid w:val="60636EDA"/>
    <w:rsid w:val="611F624D"/>
    <w:rsid w:val="62842B8F"/>
    <w:rsid w:val="64843006"/>
    <w:rsid w:val="64CC56A0"/>
    <w:rsid w:val="659B3BAA"/>
    <w:rsid w:val="65AB00C6"/>
    <w:rsid w:val="66405EF1"/>
    <w:rsid w:val="68BC32C5"/>
    <w:rsid w:val="691D1948"/>
    <w:rsid w:val="69F0718E"/>
    <w:rsid w:val="6AB5211F"/>
    <w:rsid w:val="6AD0757E"/>
    <w:rsid w:val="6DA153EC"/>
    <w:rsid w:val="6DA21E09"/>
    <w:rsid w:val="6E8515A9"/>
    <w:rsid w:val="70C83B70"/>
    <w:rsid w:val="739E7EFF"/>
    <w:rsid w:val="75661F17"/>
    <w:rsid w:val="785D4826"/>
    <w:rsid w:val="7985224E"/>
    <w:rsid w:val="79AC1E86"/>
    <w:rsid w:val="79C34C3C"/>
    <w:rsid w:val="7BB4480E"/>
    <w:rsid w:val="7C0C3840"/>
    <w:rsid w:val="7CB44BA9"/>
    <w:rsid w:val="7D74601B"/>
    <w:rsid w:val="7DD55A92"/>
    <w:rsid w:val="7DE738DC"/>
    <w:rsid w:val="7E71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1"/>
    <w:basedOn w:val="1"/>
    <w:next w:val="1"/>
    <w:link w:val="69"/>
    <w:qFormat/>
    <w:uiPriority w:val="0"/>
    <w:pPr>
      <w:keepNext/>
      <w:snapToGrid w:val="0"/>
      <w:spacing w:line="360" w:lineRule="atLeast"/>
      <w:outlineLvl w:val="0"/>
    </w:pPr>
    <w:rPr>
      <w:b/>
      <w:kern w:val="44"/>
      <w:sz w:val="44"/>
      <w:szCs w:val="20"/>
    </w:rPr>
  </w:style>
  <w:style w:type="paragraph" w:styleId="5">
    <w:name w:val="heading 2"/>
    <w:basedOn w:val="1"/>
    <w:next w:val="1"/>
    <w:link w:val="70"/>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link w:val="71"/>
    <w:qFormat/>
    <w:uiPriority w:val="0"/>
    <w:pPr>
      <w:keepNext/>
      <w:keepLines/>
      <w:spacing w:before="260" w:after="260" w:line="413" w:lineRule="auto"/>
      <w:outlineLvl w:val="2"/>
    </w:pPr>
    <w:rPr>
      <w:b/>
      <w:sz w:val="32"/>
      <w:szCs w:val="20"/>
    </w:rPr>
  </w:style>
  <w:style w:type="paragraph" w:styleId="7">
    <w:name w:val="heading 4"/>
    <w:basedOn w:val="1"/>
    <w:next w:val="1"/>
    <w:link w:val="72"/>
    <w:qFormat/>
    <w:uiPriority w:val="0"/>
    <w:pPr>
      <w:keepNext/>
      <w:keepLines/>
      <w:spacing w:before="280" w:after="290" w:line="372" w:lineRule="auto"/>
      <w:outlineLvl w:val="3"/>
    </w:pPr>
    <w:rPr>
      <w:rFonts w:ascii="Cambria" w:hAnsi="Cambria"/>
      <w:b/>
      <w:kern w:val="0"/>
      <w:szCs w:val="20"/>
    </w:rPr>
  </w:style>
  <w:style w:type="paragraph" w:styleId="8">
    <w:name w:val="heading 5"/>
    <w:basedOn w:val="1"/>
    <w:next w:val="1"/>
    <w:link w:val="73"/>
    <w:qFormat/>
    <w:uiPriority w:val="0"/>
    <w:pPr>
      <w:keepNext/>
      <w:keepLines/>
      <w:tabs>
        <w:tab w:val="left" w:pos="2551"/>
      </w:tabs>
      <w:spacing w:before="280" w:after="290" w:line="372" w:lineRule="auto"/>
      <w:ind w:left="2551" w:hanging="850"/>
      <w:outlineLvl w:val="4"/>
    </w:pPr>
    <w:rPr>
      <w:b/>
      <w:kern w:val="0"/>
      <w:szCs w:val="20"/>
    </w:rPr>
  </w:style>
  <w:style w:type="paragraph" w:styleId="9">
    <w:name w:val="heading 6"/>
    <w:basedOn w:val="1"/>
    <w:next w:val="1"/>
    <w:link w:val="74"/>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10">
    <w:name w:val="heading 7"/>
    <w:basedOn w:val="1"/>
    <w:next w:val="1"/>
    <w:link w:val="75"/>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11">
    <w:name w:val="heading 8"/>
    <w:basedOn w:val="1"/>
    <w:next w:val="1"/>
    <w:link w:val="76"/>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2">
    <w:name w:val="heading 9"/>
    <w:basedOn w:val="1"/>
    <w:next w:val="1"/>
    <w:link w:val="77"/>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9">
    <w:name w:val="Default Paragraph Font"/>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8"/>
    <w:qFormat/>
    <w:uiPriority w:val="99"/>
    <w:pPr>
      <w:spacing w:after="120" w:line="240" w:lineRule="auto"/>
      <w:ind w:left="420" w:leftChars="200" w:firstLine="420" w:firstLineChars="200"/>
    </w:pPr>
  </w:style>
  <w:style w:type="paragraph" w:styleId="3">
    <w:name w:val="Body Text Indent"/>
    <w:basedOn w:val="1"/>
    <w:link w:val="67"/>
    <w:qFormat/>
    <w:uiPriority w:val="99"/>
    <w:pPr>
      <w:spacing w:line="700" w:lineRule="exact"/>
      <w:ind w:left="960"/>
    </w:pPr>
    <w:rPr>
      <w:sz w:val="44"/>
      <w:szCs w:val="20"/>
    </w:rPr>
  </w:style>
  <w:style w:type="paragraph" w:styleId="13">
    <w:name w:val="List 3"/>
    <w:basedOn w:val="1"/>
    <w:qFormat/>
    <w:uiPriority w:val="0"/>
    <w:pPr>
      <w:adjustRightInd w:val="0"/>
      <w:snapToGrid w:val="0"/>
      <w:spacing w:line="360" w:lineRule="auto"/>
      <w:ind w:left="100" w:leftChars="400" w:hanging="200" w:hangingChars="200"/>
    </w:pPr>
    <w:rPr>
      <w:sz w:val="24"/>
      <w:szCs w:val="24"/>
    </w:rPr>
  </w:style>
  <w:style w:type="paragraph" w:styleId="14">
    <w:name w:val="toc 7"/>
    <w:basedOn w:val="1"/>
    <w:next w:val="1"/>
    <w:qFormat/>
    <w:uiPriority w:val="0"/>
    <w:pPr>
      <w:ind w:left="2520" w:leftChars="1200"/>
    </w:pPr>
  </w:style>
  <w:style w:type="paragraph" w:styleId="15">
    <w:name w:val="List Number 2"/>
    <w:basedOn w:val="1"/>
    <w:qFormat/>
    <w:uiPriority w:val="0"/>
    <w:pPr>
      <w:tabs>
        <w:tab w:val="left" w:pos="780"/>
      </w:tabs>
      <w:spacing w:line="360" w:lineRule="auto"/>
      <w:ind w:left="425" w:hanging="425"/>
    </w:pPr>
    <w:rPr>
      <w:sz w:val="24"/>
      <w:szCs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7">
    <w:name w:val="Normal Indent"/>
    <w:basedOn w:val="1"/>
    <w:qFormat/>
    <w:uiPriority w:val="0"/>
    <w:pPr>
      <w:adjustRightInd w:val="0"/>
      <w:snapToGrid w:val="0"/>
      <w:spacing w:line="360" w:lineRule="auto"/>
      <w:ind w:firstLine="420"/>
    </w:pPr>
    <w:rPr>
      <w:sz w:val="24"/>
      <w:szCs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19">
    <w:name w:val="Document Map"/>
    <w:basedOn w:val="1"/>
    <w:link w:val="82"/>
    <w:qFormat/>
    <w:uiPriority w:val="0"/>
    <w:pPr>
      <w:shd w:val="clear" w:color="auto" w:fill="000080"/>
    </w:pPr>
    <w:rPr>
      <w:kern w:val="0"/>
      <w:sz w:val="2"/>
      <w:szCs w:val="20"/>
    </w:rPr>
  </w:style>
  <w:style w:type="paragraph" w:styleId="20">
    <w:name w:val="toa heading"/>
    <w:basedOn w:val="1"/>
    <w:next w:val="1"/>
    <w:qFormat/>
    <w:uiPriority w:val="0"/>
    <w:pPr>
      <w:spacing w:before="120"/>
    </w:pPr>
    <w:rPr>
      <w:rFonts w:ascii="Arial" w:hAnsi="Arial" w:cs="Arial"/>
      <w:sz w:val="24"/>
      <w:szCs w:val="24"/>
    </w:rPr>
  </w:style>
  <w:style w:type="paragraph" w:styleId="21">
    <w:name w:val="annotation text"/>
    <w:basedOn w:val="1"/>
    <w:link w:val="78"/>
    <w:unhideWhenUsed/>
    <w:qFormat/>
    <w:uiPriority w:val="0"/>
    <w:pPr>
      <w:jc w:val="left"/>
    </w:pPr>
  </w:style>
  <w:style w:type="paragraph" w:styleId="22">
    <w:name w:val="Body Text 3"/>
    <w:basedOn w:val="1"/>
    <w:link w:val="83"/>
    <w:qFormat/>
    <w:uiPriority w:val="0"/>
    <w:pPr>
      <w:adjustRightInd w:val="0"/>
      <w:snapToGrid w:val="0"/>
      <w:spacing w:after="120" w:line="360" w:lineRule="auto"/>
    </w:pPr>
    <w:rPr>
      <w:kern w:val="0"/>
      <w:sz w:val="16"/>
      <w:szCs w:val="20"/>
    </w:rPr>
  </w:style>
  <w:style w:type="paragraph" w:styleId="23">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4">
    <w:name w:val="Body Text"/>
    <w:basedOn w:val="1"/>
    <w:link w:val="81"/>
    <w:unhideWhenUsed/>
    <w:qFormat/>
    <w:uiPriority w:val="0"/>
    <w:pPr>
      <w:spacing w:after="120"/>
    </w:pPr>
  </w:style>
  <w:style w:type="paragraph" w:styleId="25">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6">
    <w:name w:val="List 2"/>
    <w:basedOn w:val="1"/>
    <w:qFormat/>
    <w:uiPriority w:val="0"/>
    <w:pPr>
      <w:adjustRightInd w:val="0"/>
      <w:snapToGrid w:val="0"/>
      <w:spacing w:line="360" w:lineRule="auto"/>
      <w:ind w:left="100" w:leftChars="200" w:hanging="200" w:hangingChars="200"/>
    </w:pPr>
    <w:rPr>
      <w:sz w:val="24"/>
      <w:szCs w:val="24"/>
    </w:rPr>
  </w:style>
  <w:style w:type="paragraph" w:styleId="27">
    <w:name w:val="List Continue"/>
    <w:basedOn w:val="1"/>
    <w:qFormat/>
    <w:uiPriority w:val="0"/>
    <w:pPr>
      <w:adjustRightInd w:val="0"/>
      <w:snapToGrid w:val="0"/>
      <w:spacing w:after="120" w:line="360" w:lineRule="auto"/>
      <w:ind w:left="420" w:leftChars="200"/>
    </w:pPr>
    <w:rPr>
      <w:sz w:val="24"/>
      <w:szCs w:val="24"/>
    </w:rPr>
  </w:style>
  <w:style w:type="paragraph" w:styleId="28">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84"/>
    <w:qFormat/>
    <w:uiPriority w:val="0"/>
    <w:rPr>
      <w:rFonts w:ascii="宋体" w:hAnsi="Courier New"/>
      <w:kern w:val="0"/>
      <w:sz w:val="21"/>
      <w:szCs w:val="20"/>
    </w:rPr>
  </w:style>
  <w:style w:type="paragraph" w:styleId="32">
    <w:name w:val="toc 8"/>
    <w:basedOn w:val="1"/>
    <w:next w:val="1"/>
    <w:qFormat/>
    <w:uiPriority w:val="0"/>
    <w:pPr>
      <w:ind w:left="2940" w:leftChars="1400"/>
    </w:pPr>
  </w:style>
  <w:style w:type="paragraph" w:styleId="33">
    <w:name w:val="Date"/>
    <w:basedOn w:val="1"/>
    <w:next w:val="1"/>
    <w:link w:val="85"/>
    <w:qFormat/>
    <w:uiPriority w:val="0"/>
    <w:rPr>
      <w:szCs w:val="20"/>
    </w:rPr>
  </w:style>
  <w:style w:type="paragraph" w:styleId="34">
    <w:name w:val="Body Text Indent 2"/>
    <w:basedOn w:val="1"/>
    <w:link w:val="86"/>
    <w:qFormat/>
    <w:uiPriority w:val="0"/>
    <w:pPr>
      <w:snapToGrid w:val="0"/>
      <w:spacing w:line="560" w:lineRule="atLeast"/>
      <w:ind w:firstLine="540"/>
    </w:pPr>
    <w:rPr>
      <w:szCs w:val="20"/>
    </w:rPr>
  </w:style>
  <w:style w:type="paragraph" w:styleId="35">
    <w:name w:val="Balloon Text"/>
    <w:basedOn w:val="1"/>
    <w:link w:val="87"/>
    <w:qFormat/>
    <w:uiPriority w:val="0"/>
    <w:rPr>
      <w:kern w:val="0"/>
      <w:sz w:val="21"/>
      <w:szCs w:val="20"/>
    </w:rPr>
  </w:style>
  <w:style w:type="paragraph" w:styleId="36">
    <w:name w:val="footer"/>
    <w:basedOn w:val="1"/>
    <w:link w:val="88"/>
    <w:qFormat/>
    <w:uiPriority w:val="0"/>
    <w:pPr>
      <w:tabs>
        <w:tab w:val="center" w:pos="4153"/>
        <w:tab w:val="right" w:pos="8306"/>
      </w:tabs>
      <w:snapToGrid w:val="0"/>
      <w:jc w:val="left"/>
    </w:pPr>
    <w:rPr>
      <w:kern w:val="0"/>
      <w:sz w:val="18"/>
      <w:szCs w:val="20"/>
    </w:rPr>
  </w:style>
  <w:style w:type="paragraph" w:styleId="37">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38">
    <w:name w:val="toc 1"/>
    <w:basedOn w:val="1"/>
    <w:next w:val="1"/>
    <w:qFormat/>
    <w:uiPriority w:val="39"/>
    <w:pPr>
      <w:spacing w:line="180" w:lineRule="auto"/>
      <w:jc w:val="center"/>
    </w:pPr>
    <w:rPr>
      <w:sz w:val="30"/>
      <w:szCs w:val="30"/>
    </w:rPr>
  </w:style>
  <w:style w:type="paragraph" w:styleId="39">
    <w:name w:val="List Continue 4"/>
    <w:basedOn w:val="1"/>
    <w:qFormat/>
    <w:uiPriority w:val="0"/>
    <w:pPr>
      <w:adjustRightInd w:val="0"/>
      <w:snapToGrid w:val="0"/>
      <w:spacing w:after="120" w:line="360" w:lineRule="auto"/>
      <w:ind w:left="1680" w:leftChars="800"/>
    </w:pPr>
    <w:rPr>
      <w:sz w:val="24"/>
      <w:szCs w:val="24"/>
    </w:rPr>
  </w:style>
  <w:style w:type="paragraph" w:styleId="40">
    <w:name w:val="toc 4"/>
    <w:basedOn w:val="1"/>
    <w:next w:val="1"/>
    <w:qFormat/>
    <w:uiPriority w:val="0"/>
    <w:pPr>
      <w:ind w:left="1260" w:leftChars="600"/>
    </w:pPr>
  </w:style>
  <w:style w:type="paragraph" w:styleId="41">
    <w:name w:val="footnote text"/>
    <w:basedOn w:val="1"/>
    <w:link w:val="90"/>
    <w:qFormat/>
    <w:uiPriority w:val="0"/>
    <w:pPr>
      <w:spacing w:line="360" w:lineRule="auto"/>
    </w:pPr>
    <w:rPr>
      <w:sz w:val="18"/>
      <w:szCs w:val="20"/>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szCs w:val="24"/>
    </w:rPr>
  </w:style>
  <w:style w:type="paragraph" w:styleId="44">
    <w:name w:val="Body Text Indent 3"/>
    <w:basedOn w:val="1"/>
    <w:link w:val="91"/>
    <w:qFormat/>
    <w:uiPriority w:val="0"/>
    <w:pPr>
      <w:spacing w:line="360" w:lineRule="auto"/>
      <w:ind w:firstLine="632"/>
    </w:pPr>
    <w:rPr>
      <w:kern w:val="0"/>
      <w:sz w:val="16"/>
      <w:szCs w:val="20"/>
    </w:rPr>
  </w:style>
  <w:style w:type="paragraph" w:styleId="45">
    <w:name w:val="table of figures"/>
    <w:basedOn w:val="1"/>
    <w:next w:val="1"/>
    <w:qFormat/>
    <w:uiPriority w:val="0"/>
    <w:pPr>
      <w:tabs>
        <w:tab w:val="right" w:leader="dot" w:pos="8640"/>
      </w:tabs>
      <w:spacing w:line="360" w:lineRule="auto"/>
      <w:ind w:left="400" w:hanging="400"/>
    </w:pPr>
    <w:rPr>
      <w:sz w:val="24"/>
      <w:szCs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link w:val="92"/>
    <w:qFormat/>
    <w:uiPriority w:val="0"/>
    <w:pPr>
      <w:adjustRightInd w:val="0"/>
      <w:snapToGrid w:val="0"/>
      <w:spacing w:after="120" w:line="480" w:lineRule="auto"/>
    </w:pPr>
    <w:rPr>
      <w:kern w:val="0"/>
      <w:sz w:val="20"/>
      <w:szCs w:val="20"/>
    </w:rPr>
  </w:style>
  <w:style w:type="paragraph" w:styleId="49">
    <w:name w:val="List 4"/>
    <w:basedOn w:val="1"/>
    <w:qFormat/>
    <w:uiPriority w:val="0"/>
    <w:pPr>
      <w:adjustRightInd w:val="0"/>
      <w:snapToGrid w:val="0"/>
      <w:spacing w:line="360" w:lineRule="auto"/>
      <w:ind w:left="100" w:leftChars="600" w:hanging="200" w:hangingChars="200"/>
    </w:pPr>
    <w:rPr>
      <w:sz w:val="24"/>
      <w:szCs w:val="24"/>
    </w:rPr>
  </w:style>
  <w:style w:type="paragraph" w:styleId="50">
    <w:name w:val="List Continue 2"/>
    <w:basedOn w:val="1"/>
    <w:qFormat/>
    <w:uiPriority w:val="0"/>
    <w:pPr>
      <w:adjustRightInd w:val="0"/>
      <w:snapToGrid w:val="0"/>
      <w:spacing w:after="120" w:line="360" w:lineRule="auto"/>
      <w:ind w:left="840" w:leftChars="400"/>
    </w:pPr>
    <w:rPr>
      <w:sz w:val="24"/>
      <w:szCs w:val="24"/>
    </w:rPr>
  </w:style>
  <w:style w:type="paragraph" w:styleId="5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2">
    <w:name w:val="List Continue 3"/>
    <w:basedOn w:val="1"/>
    <w:qFormat/>
    <w:uiPriority w:val="0"/>
    <w:pPr>
      <w:adjustRightInd w:val="0"/>
      <w:snapToGrid w:val="0"/>
      <w:spacing w:after="120" w:line="360" w:lineRule="auto"/>
      <w:ind w:left="1260" w:leftChars="600"/>
    </w:pPr>
    <w:rPr>
      <w:sz w:val="24"/>
      <w:szCs w:val="24"/>
    </w:rPr>
  </w:style>
  <w:style w:type="paragraph" w:styleId="53">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4">
    <w:name w:val="Title"/>
    <w:basedOn w:val="1"/>
    <w:link w:val="93"/>
    <w:qFormat/>
    <w:uiPriority w:val="0"/>
    <w:pPr>
      <w:widowControl/>
      <w:spacing w:after="240" w:line="360" w:lineRule="auto"/>
      <w:jc w:val="center"/>
    </w:pPr>
    <w:rPr>
      <w:rFonts w:ascii="Cambria" w:hAnsi="Cambria"/>
      <w:b/>
      <w:kern w:val="0"/>
      <w:sz w:val="32"/>
      <w:szCs w:val="20"/>
    </w:rPr>
  </w:style>
  <w:style w:type="paragraph" w:styleId="55">
    <w:name w:val="annotation subject"/>
    <w:basedOn w:val="21"/>
    <w:next w:val="21"/>
    <w:link w:val="79"/>
    <w:qFormat/>
    <w:uiPriority w:val="0"/>
    <w:rPr>
      <w:szCs w:val="20"/>
    </w:rPr>
  </w:style>
  <w:style w:type="paragraph" w:styleId="56">
    <w:name w:val="Body Text First Indent"/>
    <w:basedOn w:val="1"/>
    <w:link w:val="80"/>
    <w:qFormat/>
    <w:uiPriority w:val="0"/>
    <w:pPr>
      <w:spacing w:line="360" w:lineRule="auto"/>
      <w:ind w:firstLine="420"/>
    </w:pPr>
    <w:rPr>
      <w:kern w:val="0"/>
      <w:sz w:val="20"/>
      <w:szCs w:val="20"/>
    </w:r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22"/>
    <w:rPr>
      <w:rFonts w:cs="Times New Roman"/>
      <w:b/>
    </w:rPr>
  </w:style>
  <w:style w:type="character" w:styleId="61">
    <w:name w:val="page number"/>
    <w:qFormat/>
    <w:uiPriority w:val="0"/>
    <w:rPr>
      <w:rFonts w:cs="Times New Roman"/>
    </w:rPr>
  </w:style>
  <w:style w:type="character" w:styleId="62">
    <w:name w:val="FollowedHyperlink"/>
    <w:qFormat/>
    <w:uiPriority w:val="99"/>
    <w:rPr>
      <w:rFonts w:cs="Times New Roman"/>
      <w:color w:val="800080"/>
      <w:u w:val="single"/>
    </w:rPr>
  </w:style>
  <w:style w:type="character" w:styleId="63">
    <w:name w:val="Emphasis"/>
    <w:qFormat/>
    <w:uiPriority w:val="0"/>
    <w:rPr>
      <w:rFonts w:cs="Times New Roman"/>
      <w:i/>
    </w:rPr>
  </w:style>
  <w:style w:type="character" w:styleId="64">
    <w:name w:val="Hyperlink"/>
    <w:qFormat/>
    <w:uiPriority w:val="99"/>
    <w:rPr>
      <w:rFonts w:cs="Times New Roman"/>
      <w:color w:val="0000FF"/>
      <w:u w:val="single"/>
    </w:rPr>
  </w:style>
  <w:style w:type="character" w:styleId="65">
    <w:name w:val="annotation reference"/>
    <w:qFormat/>
    <w:uiPriority w:val="0"/>
    <w:rPr>
      <w:rFonts w:eastAsia="宋体" w:cs="Times New Roman"/>
      <w:sz w:val="28"/>
    </w:rPr>
  </w:style>
  <w:style w:type="character" w:styleId="66">
    <w:name w:val="footnote reference"/>
    <w:qFormat/>
    <w:uiPriority w:val="0"/>
    <w:rPr>
      <w:rFonts w:cs="Times New Roman"/>
      <w:position w:val="6"/>
      <w:sz w:val="14"/>
      <w:vertAlign w:val="superscript"/>
    </w:rPr>
  </w:style>
  <w:style w:type="character" w:customStyle="1" w:styleId="67">
    <w:name w:val="正文文本缩进 Char"/>
    <w:basedOn w:val="59"/>
    <w:link w:val="3"/>
    <w:qFormat/>
    <w:uiPriority w:val="99"/>
    <w:rPr>
      <w:rFonts w:ascii="Times New Roman" w:hAnsi="Times New Roman" w:eastAsia="宋体" w:cs="Times New Roman"/>
      <w:sz w:val="44"/>
      <w:szCs w:val="20"/>
    </w:rPr>
  </w:style>
  <w:style w:type="character" w:customStyle="1" w:styleId="68">
    <w:name w:val="正文首行缩进 2 Char"/>
    <w:basedOn w:val="67"/>
    <w:link w:val="2"/>
    <w:qFormat/>
    <w:uiPriority w:val="99"/>
    <w:rPr>
      <w:rFonts w:ascii="Times New Roman" w:hAnsi="Times New Roman" w:eastAsia="宋体" w:cs="Times New Roman"/>
      <w:sz w:val="44"/>
      <w:szCs w:val="20"/>
    </w:rPr>
  </w:style>
  <w:style w:type="character" w:customStyle="1" w:styleId="69">
    <w:name w:val="标题 1 Char"/>
    <w:basedOn w:val="59"/>
    <w:link w:val="4"/>
    <w:qFormat/>
    <w:uiPriority w:val="0"/>
    <w:rPr>
      <w:rFonts w:ascii="Times New Roman" w:hAnsi="Times New Roman" w:eastAsia="宋体" w:cs="Times New Roman"/>
      <w:b/>
      <w:kern w:val="44"/>
      <w:sz w:val="44"/>
      <w:szCs w:val="20"/>
    </w:rPr>
  </w:style>
  <w:style w:type="character" w:customStyle="1" w:styleId="70">
    <w:name w:val="标题 2 Char"/>
    <w:basedOn w:val="59"/>
    <w:link w:val="5"/>
    <w:qFormat/>
    <w:uiPriority w:val="0"/>
    <w:rPr>
      <w:rFonts w:ascii="Arial" w:hAnsi="Arial" w:eastAsia="黑体" w:cs="Times New Roman"/>
      <w:b/>
      <w:sz w:val="32"/>
      <w:szCs w:val="20"/>
    </w:rPr>
  </w:style>
  <w:style w:type="character" w:customStyle="1" w:styleId="71">
    <w:name w:val="标题 3 Char"/>
    <w:basedOn w:val="59"/>
    <w:link w:val="6"/>
    <w:qFormat/>
    <w:uiPriority w:val="0"/>
    <w:rPr>
      <w:rFonts w:ascii="Times New Roman" w:hAnsi="Times New Roman" w:eastAsia="宋体" w:cs="Times New Roman"/>
      <w:b/>
      <w:sz w:val="32"/>
      <w:szCs w:val="20"/>
    </w:rPr>
  </w:style>
  <w:style w:type="character" w:customStyle="1" w:styleId="72">
    <w:name w:val="标题 4 Char"/>
    <w:basedOn w:val="59"/>
    <w:link w:val="7"/>
    <w:qFormat/>
    <w:uiPriority w:val="0"/>
    <w:rPr>
      <w:rFonts w:ascii="Cambria" w:hAnsi="Cambria" w:eastAsia="宋体" w:cs="Times New Roman"/>
      <w:b/>
      <w:kern w:val="0"/>
      <w:sz w:val="28"/>
      <w:szCs w:val="20"/>
    </w:rPr>
  </w:style>
  <w:style w:type="character" w:customStyle="1" w:styleId="73">
    <w:name w:val="标题 5 Char"/>
    <w:basedOn w:val="59"/>
    <w:link w:val="8"/>
    <w:qFormat/>
    <w:uiPriority w:val="0"/>
    <w:rPr>
      <w:rFonts w:ascii="Times New Roman" w:hAnsi="Times New Roman" w:eastAsia="宋体" w:cs="Times New Roman"/>
      <w:b/>
      <w:kern w:val="0"/>
      <w:sz w:val="28"/>
      <w:szCs w:val="20"/>
    </w:rPr>
  </w:style>
  <w:style w:type="character" w:customStyle="1" w:styleId="74">
    <w:name w:val="标题 6 Char"/>
    <w:basedOn w:val="59"/>
    <w:link w:val="9"/>
    <w:qFormat/>
    <w:uiPriority w:val="0"/>
    <w:rPr>
      <w:rFonts w:ascii="Cambria" w:hAnsi="Cambria" w:eastAsia="宋体" w:cs="Times New Roman"/>
      <w:b/>
      <w:kern w:val="0"/>
      <w:sz w:val="24"/>
      <w:szCs w:val="20"/>
    </w:rPr>
  </w:style>
  <w:style w:type="character" w:customStyle="1" w:styleId="75">
    <w:name w:val="标题 7 Char"/>
    <w:basedOn w:val="59"/>
    <w:link w:val="10"/>
    <w:qFormat/>
    <w:uiPriority w:val="0"/>
    <w:rPr>
      <w:rFonts w:ascii="Times New Roman" w:hAnsi="Times New Roman" w:eastAsia="宋体" w:cs="Times New Roman"/>
      <w:b/>
      <w:kern w:val="0"/>
      <w:sz w:val="24"/>
      <w:szCs w:val="20"/>
    </w:rPr>
  </w:style>
  <w:style w:type="character" w:customStyle="1" w:styleId="76">
    <w:name w:val="标题 8 Char"/>
    <w:basedOn w:val="59"/>
    <w:link w:val="11"/>
    <w:qFormat/>
    <w:uiPriority w:val="0"/>
    <w:rPr>
      <w:rFonts w:ascii="Cambria" w:hAnsi="Cambria" w:eastAsia="宋体" w:cs="Times New Roman"/>
      <w:kern w:val="0"/>
      <w:sz w:val="24"/>
      <w:szCs w:val="20"/>
    </w:rPr>
  </w:style>
  <w:style w:type="character" w:customStyle="1" w:styleId="77">
    <w:name w:val="标题 9 Char"/>
    <w:basedOn w:val="59"/>
    <w:link w:val="12"/>
    <w:qFormat/>
    <w:uiPriority w:val="0"/>
    <w:rPr>
      <w:rFonts w:ascii="Cambria" w:hAnsi="Cambria" w:eastAsia="宋体" w:cs="Times New Roman"/>
      <w:kern w:val="0"/>
      <w:szCs w:val="20"/>
    </w:rPr>
  </w:style>
  <w:style w:type="character" w:customStyle="1" w:styleId="78">
    <w:name w:val="批注文字 Char"/>
    <w:basedOn w:val="59"/>
    <w:link w:val="21"/>
    <w:qFormat/>
    <w:uiPriority w:val="0"/>
    <w:rPr>
      <w:rFonts w:ascii="Times New Roman" w:hAnsi="Times New Roman" w:eastAsia="宋体" w:cs="Times New Roman"/>
      <w:sz w:val="28"/>
      <w:szCs w:val="28"/>
    </w:rPr>
  </w:style>
  <w:style w:type="character" w:customStyle="1" w:styleId="79">
    <w:name w:val="批注主题 Char"/>
    <w:basedOn w:val="78"/>
    <w:link w:val="55"/>
    <w:qFormat/>
    <w:uiPriority w:val="0"/>
    <w:rPr>
      <w:rFonts w:ascii="Times New Roman" w:hAnsi="Times New Roman" w:eastAsia="宋体" w:cs="Times New Roman"/>
      <w:sz w:val="28"/>
      <w:szCs w:val="20"/>
    </w:rPr>
  </w:style>
  <w:style w:type="character" w:customStyle="1" w:styleId="80">
    <w:name w:val="正文首行缩进 Char"/>
    <w:basedOn w:val="81"/>
    <w:link w:val="56"/>
    <w:qFormat/>
    <w:uiPriority w:val="0"/>
    <w:rPr>
      <w:rFonts w:ascii="Times New Roman" w:hAnsi="Times New Roman" w:eastAsia="宋体" w:cs="Times New Roman"/>
      <w:kern w:val="0"/>
      <w:sz w:val="20"/>
      <w:szCs w:val="20"/>
    </w:rPr>
  </w:style>
  <w:style w:type="character" w:customStyle="1" w:styleId="81">
    <w:name w:val="正文文本 Char"/>
    <w:basedOn w:val="59"/>
    <w:link w:val="24"/>
    <w:semiHidden/>
    <w:qFormat/>
    <w:uiPriority w:val="99"/>
    <w:rPr>
      <w:rFonts w:ascii="Times New Roman" w:hAnsi="Times New Roman" w:eastAsia="宋体" w:cs="Times New Roman"/>
      <w:sz w:val="28"/>
      <w:szCs w:val="28"/>
    </w:rPr>
  </w:style>
  <w:style w:type="character" w:customStyle="1" w:styleId="82">
    <w:name w:val="文档结构图 Char"/>
    <w:basedOn w:val="59"/>
    <w:link w:val="19"/>
    <w:qFormat/>
    <w:uiPriority w:val="0"/>
    <w:rPr>
      <w:rFonts w:ascii="Times New Roman" w:hAnsi="Times New Roman" w:eastAsia="宋体" w:cs="Times New Roman"/>
      <w:kern w:val="0"/>
      <w:sz w:val="2"/>
      <w:szCs w:val="20"/>
      <w:shd w:val="clear" w:color="auto" w:fill="000080"/>
    </w:rPr>
  </w:style>
  <w:style w:type="character" w:customStyle="1" w:styleId="83">
    <w:name w:val="正文文本 3 Char"/>
    <w:basedOn w:val="59"/>
    <w:link w:val="22"/>
    <w:qFormat/>
    <w:uiPriority w:val="0"/>
    <w:rPr>
      <w:rFonts w:ascii="Times New Roman" w:hAnsi="Times New Roman" w:eastAsia="宋体" w:cs="Times New Roman"/>
      <w:kern w:val="0"/>
      <w:sz w:val="16"/>
      <w:szCs w:val="20"/>
    </w:rPr>
  </w:style>
  <w:style w:type="character" w:customStyle="1" w:styleId="84">
    <w:name w:val="纯文本 Char"/>
    <w:basedOn w:val="59"/>
    <w:link w:val="31"/>
    <w:qFormat/>
    <w:uiPriority w:val="0"/>
    <w:rPr>
      <w:rFonts w:ascii="宋体" w:hAnsi="Courier New" w:eastAsia="宋体" w:cs="Times New Roman"/>
      <w:kern w:val="0"/>
      <w:szCs w:val="20"/>
    </w:rPr>
  </w:style>
  <w:style w:type="character" w:customStyle="1" w:styleId="85">
    <w:name w:val="日期 Char"/>
    <w:basedOn w:val="59"/>
    <w:link w:val="33"/>
    <w:qFormat/>
    <w:uiPriority w:val="0"/>
    <w:rPr>
      <w:rFonts w:ascii="Times New Roman" w:hAnsi="Times New Roman" w:eastAsia="宋体" w:cs="Times New Roman"/>
      <w:sz w:val="28"/>
      <w:szCs w:val="20"/>
    </w:rPr>
  </w:style>
  <w:style w:type="character" w:customStyle="1" w:styleId="86">
    <w:name w:val="正文文本缩进 2 Char"/>
    <w:basedOn w:val="59"/>
    <w:link w:val="34"/>
    <w:qFormat/>
    <w:uiPriority w:val="0"/>
    <w:rPr>
      <w:rFonts w:ascii="Times New Roman" w:hAnsi="Times New Roman" w:eastAsia="宋体" w:cs="Times New Roman"/>
      <w:sz w:val="28"/>
      <w:szCs w:val="20"/>
    </w:rPr>
  </w:style>
  <w:style w:type="character" w:customStyle="1" w:styleId="87">
    <w:name w:val="批注框文本 Char"/>
    <w:basedOn w:val="59"/>
    <w:link w:val="35"/>
    <w:qFormat/>
    <w:uiPriority w:val="0"/>
    <w:rPr>
      <w:rFonts w:ascii="Times New Roman" w:hAnsi="Times New Roman" w:eastAsia="宋体" w:cs="Times New Roman"/>
      <w:kern w:val="0"/>
      <w:szCs w:val="20"/>
    </w:rPr>
  </w:style>
  <w:style w:type="character" w:customStyle="1" w:styleId="88">
    <w:name w:val="页脚 Char"/>
    <w:basedOn w:val="59"/>
    <w:link w:val="36"/>
    <w:qFormat/>
    <w:uiPriority w:val="0"/>
    <w:rPr>
      <w:rFonts w:ascii="Times New Roman" w:hAnsi="Times New Roman" w:eastAsia="宋体" w:cs="Times New Roman"/>
      <w:kern w:val="0"/>
      <w:sz w:val="18"/>
      <w:szCs w:val="20"/>
    </w:rPr>
  </w:style>
  <w:style w:type="character" w:customStyle="1" w:styleId="89">
    <w:name w:val="页眉 Char"/>
    <w:basedOn w:val="59"/>
    <w:link w:val="37"/>
    <w:qFormat/>
    <w:uiPriority w:val="0"/>
    <w:rPr>
      <w:rFonts w:ascii="Times New Roman" w:hAnsi="Times New Roman" w:eastAsia="宋体" w:cs="Times New Roman"/>
      <w:sz w:val="18"/>
      <w:szCs w:val="20"/>
    </w:rPr>
  </w:style>
  <w:style w:type="character" w:customStyle="1" w:styleId="90">
    <w:name w:val="脚注文本 Char"/>
    <w:basedOn w:val="59"/>
    <w:link w:val="41"/>
    <w:qFormat/>
    <w:uiPriority w:val="0"/>
    <w:rPr>
      <w:rFonts w:ascii="Times New Roman" w:hAnsi="Times New Roman" w:eastAsia="宋体" w:cs="Times New Roman"/>
      <w:sz w:val="18"/>
      <w:szCs w:val="20"/>
    </w:rPr>
  </w:style>
  <w:style w:type="character" w:customStyle="1" w:styleId="91">
    <w:name w:val="正文文本缩进 3 Char"/>
    <w:basedOn w:val="59"/>
    <w:link w:val="44"/>
    <w:qFormat/>
    <w:uiPriority w:val="0"/>
    <w:rPr>
      <w:rFonts w:ascii="Times New Roman" w:hAnsi="Times New Roman" w:eastAsia="宋体" w:cs="Times New Roman"/>
      <w:kern w:val="0"/>
      <w:sz w:val="16"/>
      <w:szCs w:val="20"/>
    </w:rPr>
  </w:style>
  <w:style w:type="character" w:customStyle="1" w:styleId="92">
    <w:name w:val="正文文本 2 Char"/>
    <w:basedOn w:val="59"/>
    <w:link w:val="48"/>
    <w:qFormat/>
    <w:uiPriority w:val="0"/>
    <w:rPr>
      <w:rFonts w:ascii="Times New Roman" w:hAnsi="Times New Roman" w:eastAsia="宋体" w:cs="Times New Roman"/>
      <w:kern w:val="0"/>
      <w:sz w:val="20"/>
      <w:szCs w:val="20"/>
    </w:rPr>
  </w:style>
  <w:style w:type="character" w:customStyle="1" w:styleId="93">
    <w:name w:val="标题 Char"/>
    <w:basedOn w:val="59"/>
    <w:link w:val="54"/>
    <w:qFormat/>
    <w:uiPriority w:val="0"/>
    <w:rPr>
      <w:rFonts w:ascii="Cambria" w:hAnsi="Cambria" w:eastAsia="宋体" w:cs="Times New Roman"/>
      <w:b/>
      <w:kern w:val="0"/>
      <w:sz w:val="32"/>
      <w:szCs w:val="20"/>
    </w:rPr>
  </w:style>
  <w:style w:type="character" w:customStyle="1" w:styleId="94">
    <w:name w:val="Char Char3"/>
    <w:qFormat/>
    <w:uiPriority w:val="0"/>
    <w:rPr>
      <w:rFonts w:eastAsia="宋体"/>
      <w:kern w:val="2"/>
      <w:sz w:val="18"/>
      <w:lang w:val="en-US" w:eastAsia="zh-CN"/>
    </w:rPr>
  </w:style>
  <w:style w:type="character" w:customStyle="1" w:styleId="95">
    <w:name w:val="top-det1"/>
    <w:qFormat/>
    <w:uiPriority w:val="0"/>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0"/>
    <w:rPr>
      <w:rFonts w:eastAsia="宋体"/>
      <w:kern w:val="2"/>
      <w:sz w:val="21"/>
      <w:lang w:val="en-US" w:eastAsia="zh-CN"/>
    </w:rPr>
  </w:style>
  <w:style w:type="character" w:customStyle="1" w:styleId="100">
    <w:name w:val="样式 宋体"/>
    <w:qFormat/>
    <w:uiPriority w:val="0"/>
    <w:rPr>
      <w:rFonts w:ascii="宋体" w:hAnsi="宋体" w:eastAsia="宋体"/>
      <w:sz w:val="28"/>
    </w:rPr>
  </w:style>
  <w:style w:type="character" w:customStyle="1" w:styleId="101">
    <w:name w:val="Char Char4"/>
    <w:qFormat/>
    <w:uiPriority w:val="0"/>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0"/>
    <w:rPr>
      <w:rFonts w:ascii="Arial" w:hAnsi="Arial" w:eastAsia="黑体"/>
      <w:kern w:val="2"/>
      <w:sz w:val="18"/>
      <w:lang w:val="en-US" w:eastAsia="zh-CN"/>
    </w:rPr>
  </w:style>
  <w:style w:type="character" w:customStyle="1" w:styleId="104">
    <w:name w:val="未命名11"/>
    <w:qFormat/>
    <w:uiPriority w:val="0"/>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0"/>
    <w:rPr>
      <w:sz w:val="24"/>
    </w:rPr>
  </w:style>
  <w:style w:type="character" w:customStyle="1" w:styleId="108">
    <w:name w:val="content-white1"/>
    <w:qFormat/>
    <w:uiPriority w:val="0"/>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0"/>
    <w:rPr>
      <w:rFonts w:ascii="Arial" w:hAnsi="Arial"/>
      <w:sz w:val="18"/>
    </w:rPr>
  </w:style>
  <w:style w:type="paragraph" w:customStyle="1" w:styleId="114">
    <w:name w:val="Table Text"/>
    <w:link w:val="113"/>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0"/>
    <w:rPr>
      <w:rFonts w:eastAsia="宋体"/>
      <w:kern w:val="2"/>
      <w:sz w:val="18"/>
      <w:lang w:val="en-US" w:eastAsia="zh-CN"/>
    </w:rPr>
  </w:style>
  <w:style w:type="character" w:customStyle="1" w:styleId="117">
    <w:name w:val="Char Char6"/>
    <w:qFormat/>
    <w:uiPriority w:val="0"/>
    <w:rPr>
      <w:rFonts w:ascii="仿宋_GB2312" w:eastAsia="仿宋_GB2312"/>
      <w:kern w:val="2"/>
      <w:sz w:val="32"/>
    </w:rPr>
  </w:style>
  <w:style w:type="character" w:customStyle="1" w:styleId="118">
    <w:name w:val="Char Char5"/>
    <w:qFormat/>
    <w:uiPriority w:val="0"/>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0"/>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0"/>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0"/>
    <w:rPr>
      <w:color w:val="000000"/>
      <w:sz w:val="18"/>
    </w:rPr>
  </w:style>
  <w:style w:type="character" w:customStyle="1" w:styleId="125">
    <w:name w:val="标书正文:  0.74 厘米 Char1"/>
    <w:qFormat/>
    <w:uiPriority w:val="0"/>
    <w:rPr>
      <w:rFonts w:eastAsia="宋体"/>
      <w:kern w:val="2"/>
      <w:sz w:val="24"/>
      <w:lang w:val="en-US" w:eastAsia="zh-CN"/>
    </w:rPr>
  </w:style>
  <w:style w:type="character" w:customStyle="1" w:styleId="126">
    <w:name w:val="Char Char7"/>
    <w:qFormat/>
    <w:uiPriority w:val="0"/>
    <w:rPr>
      <w:rFonts w:ascii="宋体" w:hAnsi="宋体" w:eastAsia="宋体"/>
      <w:kern w:val="2"/>
      <w:sz w:val="28"/>
    </w:rPr>
  </w:style>
  <w:style w:type="paragraph" w:customStyle="1" w:styleId="127">
    <w:name w:val="正文文本 21"/>
    <w:basedOn w:val="1"/>
    <w:qFormat/>
    <w:uiPriority w:val="0"/>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4"/>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0"/>
    <w:pPr>
      <w:spacing w:before="120" w:after="120" w:line="360" w:lineRule="auto"/>
    </w:pPr>
    <w:rPr>
      <w:sz w:val="24"/>
      <w:szCs w:val="24"/>
    </w:rPr>
  </w:style>
  <w:style w:type="paragraph" w:customStyle="1" w:styleId="1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0"/>
    <w:pPr>
      <w:tabs>
        <w:tab w:val="left" w:pos="1050"/>
        <w:tab w:val="right" w:leader="dot" w:pos="8296"/>
      </w:tabs>
    </w:pPr>
    <w:rPr>
      <w:caps/>
      <w:spacing w:val="20"/>
      <w:sz w:val="24"/>
      <w:szCs w:val="24"/>
    </w:rPr>
  </w:style>
  <w:style w:type="paragraph" w:customStyle="1" w:styleId="135">
    <w:name w:val="简单回函地址"/>
    <w:basedOn w:val="1"/>
    <w:qFormat/>
    <w:uiPriority w:val="0"/>
    <w:pPr>
      <w:adjustRightInd w:val="0"/>
      <w:snapToGrid w:val="0"/>
      <w:spacing w:line="360" w:lineRule="auto"/>
    </w:pPr>
    <w:rPr>
      <w:sz w:val="24"/>
      <w:szCs w:val="24"/>
    </w:rPr>
  </w:style>
  <w:style w:type="paragraph" w:customStyle="1" w:styleId="136">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0"/>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0"/>
    <w:rPr>
      <w:rFonts w:ascii="宋体" w:hAnsi="Times New Roman" w:eastAsia="宋体" w:cs="宋体"/>
      <w:kern w:val="2"/>
      <w:lang w:val="en-US" w:eastAsia="zh-CN" w:bidi="ar-SA"/>
    </w:rPr>
  </w:style>
  <w:style w:type="paragraph" w:customStyle="1" w:styleId="153">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0"/>
    <w:pPr>
      <w:snapToGrid w:val="0"/>
      <w:spacing w:line="360" w:lineRule="auto"/>
      <w:ind w:firstLine="420"/>
    </w:pPr>
    <w:rPr>
      <w:sz w:val="24"/>
      <w:szCs w:val="24"/>
    </w:rPr>
  </w:style>
  <w:style w:type="paragraph" w:customStyle="1" w:styleId="157">
    <w:name w:val="修订1"/>
    <w:qFormat/>
    <w:uiPriority w:val="0"/>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0"/>
    <w:pPr>
      <w:spacing w:line="360" w:lineRule="auto"/>
      <w:ind w:firstLine="480" w:firstLineChars="200"/>
    </w:pPr>
    <w:rPr>
      <w:sz w:val="24"/>
      <w:szCs w:val="24"/>
    </w:rPr>
  </w:style>
  <w:style w:type="paragraph" w:customStyle="1" w:styleId="162">
    <w:name w:val="样式 标题 1 + 居中 段前: 6 磅 段后: 6 磅 行距: 1.5 倍行距"/>
    <w:basedOn w:val="4"/>
    <w:qFormat/>
    <w:uiPriority w:val="0"/>
    <w:pPr>
      <w:keepLines/>
      <w:adjustRightInd w:val="0"/>
      <w:spacing w:before="120" w:after="120" w:line="360" w:lineRule="auto"/>
      <w:jc w:val="center"/>
    </w:pPr>
    <w:rPr>
      <w:sz w:val="32"/>
      <w:szCs w:val="32"/>
    </w:rPr>
  </w:style>
  <w:style w:type="paragraph" w:customStyle="1" w:styleId="163">
    <w:name w:val="样式 标题 6第五层条 + 三号 段前: 0.5 行"/>
    <w:basedOn w:val="9"/>
    <w:qFormat/>
    <w:uiPriority w:val="0"/>
    <w:pPr>
      <w:widowControl/>
      <w:adjustRightInd/>
      <w:snapToGrid/>
      <w:spacing w:beforeLines="50"/>
      <w:jc w:val="left"/>
    </w:pPr>
    <w:rPr>
      <w:kern w:val="24"/>
      <w:sz w:val="28"/>
      <w:szCs w:val="28"/>
    </w:rPr>
  </w:style>
  <w:style w:type="paragraph" w:customStyle="1" w:styleId="164">
    <w:name w:val="关键词"/>
    <w:basedOn w:val="1"/>
    <w:next w:val="1"/>
    <w:qFormat/>
    <w:uiPriority w:val="0"/>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0"/>
    <w:rPr>
      <w:rFonts w:ascii="Tahoma" w:hAnsi="Tahoma" w:cs="Tahoma"/>
      <w:sz w:val="24"/>
      <w:szCs w:val="24"/>
    </w:rPr>
  </w:style>
  <w:style w:type="paragraph" w:customStyle="1" w:styleId="167">
    <w:name w:val="表头文本"/>
    <w:qFormat/>
    <w:uiPriority w:val="0"/>
    <w:pPr>
      <w:jc w:val="center"/>
    </w:pPr>
    <w:rPr>
      <w:rFonts w:ascii="Arial" w:hAnsi="Arial" w:eastAsia="宋体" w:cs="Arial"/>
      <w:b/>
      <w:bCs/>
      <w:sz w:val="21"/>
      <w:szCs w:val="21"/>
      <w:lang w:val="en-US" w:eastAsia="zh-CN" w:bidi="ar-SA"/>
    </w:rPr>
  </w:style>
  <w:style w:type="paragraph" w:customStyle="1" w:styleId="168">
    <w:name w:val="样式1"/>
    <w:basedOn w:val="7"/>
    <w:qFormat/>
    <w:uiPriority w:val="0"/>
    <w:pPr>
      <w:tabs>
        <w:tab w:val="left" w:pos="720"/>
      </w:tabs>
      <w:spacing w:before="500" w:after="260" w:line="560" w:lineRule="atLeast"/>
      <w:ind w:left="420" w:hanging="420"/>
    </w:pPr>
  </w:style>
  <w:style w:type="paragraph" w:customStyle="1" w:styleId="169">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0"/>
    <w:pPr>
      <w:spacing w:line="240" w:lineRule="atLeast"/>
      <w:ind w:left="420" w:firstLine="420"/>
    </w:pPr>
    <w:rPr>
      <w:kern w:val="0"/>
      <w:sz w:val="21"/>
      <w:szCs w:val="21"/>
    </w:rPr>
  </w:style>
  <w:style w:type="paragraph" w:customStyle="1" w:styleId="174">
    <w:name w:val="摘要"/>
    <w:basedOn w:val="1"/>
    <w:next w:val="5"/>
    <w:qFormat/>
    <w:uiPriority w:val="0"/>
    <w:pPr>
      <w:spacing w:line="360" w:lineRule="auto"/>
    </w:pPr>
    <w:rPr>
      <w:rFonts w:eastAsia="黑体"/>
      <w:sz w:val="20"/>
      <w:szCs w:val="20"/>
    </w:rPr>
  </w:style>
  <w:style w:type="paragraph" w:customStyle="1" w:styleId="175">
    <w:name w:val="Char1"/>
    <w:basedOn w:val="1"/>
    <w:qFormat/>
    <w:uiPriority w:val="0"/>
    <w:rPr>
      <w:sz w:val="21"/>
      <w:szCs w:val="21"/>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6"/>
    <w:qFormat/>
    <w:uiPriority w:val="0"/>
    <w:pPr>
      <w:tabs>
        <w:tab w:val="left" w:pos="709"/>
        <w:tab w:val="left" w:pos="1620"/>
      </w:tabs>
      <w:ind w:left="1620" w:hanging="360"/>
    </w:pPr>
  </w:style>
  <w:style w:type="paragraph" w:customStyle="1" w:styleId="178">
    <w:name w:val="Title - Revision"/>
    <w:basedOn w:val="54"/>
    <w:qFormat/>
    <w:uiPriority w:val="0"/>
    <w:pPr>
      <w:spacing w:before="720"/>
    </w:pPr>
  </w:style>
  <w:style w:type="paragraph" w:customStyle="1" w:styleId="179">
    <w:name w:val="Char1 Char Char Char1"/>
    <w:basedOn w:val="1"/>
    <w:qFormat/>
    <w:uiPriority w:val="0"/>
    <w:rPr>
      <w:rFonts w:ascii="Tahoma" w:hAnsi="Tahoma" w:cs="Tahoma"/>
      <w:sz w:val="24"/>
      <w:szCs w:val="24"/>
    </w:rPr>
  </w:style>
  <w:style w:type="paragraph" w:customStyle="1" w:styleId="180">
    <w:name w:val="样式4"/>
    <w:basedOn w:val="7"/>
    <w:qFormat/>
    <w:uiPriority w:val="0"/>
    <w:pPr>
      <w:adjustRightInd w:val="0"/>
      <w:snapToGrid w:val="0"/>
    </w:pPr>
  </w:style>
  <w:style w:type="paragraph" w:customStyle="1" w:styleId="181">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0"/>
    <w:pPr>
      <w:spacing w:after="120" w:line="360" w:lineRule="auto"/>
      <w:ind w:firstLine="200" w:firstLineChars="200"/>
    </w:pPr>
    <w:rPr>
      <w:sz w:val="24"/>
      <w:szCs w:val="24"/>
    </w:rPr>
  </w:style>
  <w:style w:type="paragraph" w:customStyle="1" w:styleId="184">
    <w:name w:val="Char Char Char Char Char Char Char"/>
    <w:basedOn w:val="19"/>
    <w:qFormat/>
    <w:uiPriority w:val="0"/>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0"/>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0"/>
    <w:pPr>
      <w:adjustRightInd w:val="0"/>
      <w:spacing w:before="40" w:after="40"/>
    </w:pPr>
    <w:rPr>
      <w:sz w:val="24"/>
      <w:szCs w:val="24"/>
    </w:rPr>
  </w:style>
  <w:style w:type="paragraph" w:customStyle="1" w:styleId="190">
    <w:name w:val="标题无"/>
    <w:basedOn w:val="1"/>
    <w:qFormat/>
    <w:uiPriority w:val="0"/>
    <w:pPr>
      <w:spacing w:line="360" w:lineRule="auto"/>
    </w:pPr>
    <w:rPr>
      <w:sz w:val="24"/>
      <w:szCs w:val="24"/>
    </w:rPr>
  </w:style>
  <w:style w:type="paragraph" w:customStyle="1" w:styleId="191">
    <w:name w:val="样式2"/>
    <w:basedOn w:val="7"/>
    <w:qFormat/>
    <w:uiPriority w:val="0"/>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0"/>
    <w:rPr>
      <w:sz w:val="21"/>
      <w:szCs w:val="21"/>
    </w:rPr>
  </w:style>
  <w:style w:type="paragraph" w:customStyle="1" w:styleId="193">
    <w:name w:val="1"/>
    <w:basedOn w:val="1"/>
    <w:next w:val="31"/>
    <w:qFormat/>
    <w:uiPriority w:val="0"/>
    <w:rPr>
      <w:rFonts w:ascii="宋体" w:hAnsi="Courier New" w:cs="宋体"/>
      <w:sz w:val="21"/>
      <w:szCs w:val="21"/>
    </w:rPr>
  </w:style>
  <w:style w:type="paragraph" w:customStyle="1" w:styleId="194">
    <w:name w:val="标题3——2"/>
    <w:basedOn w:val="6"/>
    <w:next w:val="56"/>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4"/>
    <w:qFormat/>
    <w:uiPriority w:val="0"/>
    <w:pPr>
      <w:suppressAutoHyphens/>
      <w:spacing w:after="0"/>
      <w:jc w:val="left"/>
    </w:pPr>
    <w:rPr>
      <w:kern w:val="0"/>
      <w:sz w:val="24"/>
      <w:szCs w:val="24"/>
    </w:rPr>
  </w:style>
  <w:style w:type="paragraph" w:customStyle="1" w:styleId="197">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19"/>
    <w:qFormat/>
    <w:uiPriority w:val="0"/>
    <w:rPr>
      <w:rFonts w:ascii="Tahoma" w:hAnsi="Tahoma" w:cs="Tahoma"/>
      <w:sz w:val="24"/>
      <w:szCs w:val="24"/>
    </w:rPr>
  </w:style>
  <w:style w:type="paragraph" w:customStyle="1" w:styleId="199">
    <w:name w:val="段落正文"/>
    <w:basedOn w:val="1"/>
    <w:qFormat/>
    <w:uiPriority w:val="0"/>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0"/>
    <w:pPr>
      <w:adjustRightInd w:val="0"/>
      <w:spacing w:line="360" w:lineRule="auto"/>
    </w:pPr>
    <w:rPr>
      <w:kern w:val="0"/>
      <w:sz w:val="24"/>
      <w:szCs w:val="24"/>
    </w:rPr>
  </w:style>
  <w:style w:type="paragraph" w:customStyle="1" w:styleId="201">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0"/>
    <w:pPr>
      <w:spacing w:line="360" w:lineRule="auto"/>
      <w:ind w:firstLine="420"/>
    </w:pPr>
    <w:rPr>
      <w:sz w:val="24"/>
      <w:szCs w:val="24"/>
    </w:rPr>
  </w:style>
  <w:style w:type="paragraph" w:customStyle="1" w:styleId="203">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0"/>
    <w:pPr>
      <w:spacing w:line="240" w:lineRule="atLeast"/>
      <w:ind w:left="420" w:firstLine="420"/>
    </w:pPr>
    <w:rPr>
      <w:kern w:val="0"/>
      <w:sz w:val="21"/>
      <w:szCs w:val="21"/>
    </w:rPr>
  </w:style>
  <w:style w:type="paragraph" w:customStyle="1" w:styleId="20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0"/>
    <w:pPr>
      <w:tabs>
        <w:tab w:val="left" w:pos="540"/>
      </w:tabs>
      <w:spacing w:line="360" w:lineRule="auto"/>
      <w:ind w:left="540"/>
    </w:pPr>
    <w:rPr>
      <w:rFonts w:eastAsia="仿宋_GB2312"/>
    </w:rPr>
  </w:style>
  <w:style w:type="paragraph" w:customStyle="1" w:styleId="208">
    <w:name w:val="表格文本"/>
    <w:qFormat/>
    <w:uiPriority w:val="0"/>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0"/>
    <w:rPr>
      <w:rFonts w:ascii="Tahoma" w:hAnsi="Tahoma" w:cs="Tahoma"/>
      <w:sz w:val="24"/>
      <w:szCs w:val="24"/>
    </w:rPr>
  </w:style>
  <w:style w:type="paragraph" w:customStyle="1" w:styleId="21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0"/>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0"/>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19">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0"/>
    <w:rPr>
      <w:rFonts w:ascii="Tahoma" w:hAnsi="Tahoma" w:cs="Tahoma"/>
      <w:sz w:val="30"/>
      <w:szCs w:val="30"/>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8">
    <w:name w:val="样式3"/>
    <w:basedOn w:val="4"/>
    <w:next w:val="4"/>
    <w:qFormat/>
    <w:uiPriority w:val="0"/>
    <w:pPr>
      <w:keepLines/>
      <w:adjustRightInd w:val="0"/>
      <w:spacing w:before="340" w:after="330" w:line="576" w:lineRule="auto"/>
    </w:pPr>
    <w:rPr>
      <w:rFonts w:eastAsia="黑体"/>
    </w:rPr>
  </w:style>
  <w:style w:type="paragraph" w:customStyle="1" w:styleId="229">
    <w:name w:val="1.正文"/>
    <w:basedOn w:val="1"/>
    <w:qFormat/>
    <w:uiPriority w:val="0"/>
    <w:pPr>
      <w:spacing w:line="360" w:lineRule="auto"/>
      <w:ind w:left="540" w:leftChars="225" w:firstLine="540" w:firstLineChars="225"/>
    </w:pPr>
    <w:rPr>
      <w:sz w:val="24"/>
      <w:szCs w:val="24"/>
    </w:rPr>
  </w:style>
  <w:style w:type="paragraph" w:customStyle="1" w:styleId="230">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0"/>
    <w:rPr>
      <w:rFonts w:ascii="Tahoma" w:hAnsi="Tahoma" w:cs="Tahoma"/>
      <w:sz w:val="24"/>
      <w:szCs w:val="24"/>
    </w:rPr>
  </w:style>
  <w:style w:type="paragraph" w:customStyle="1" w:styleId="232">
    <w:name w:val="CSS1级正文 Char"/>
    <w:basedOn w:val="24"/>
    <w:qFormat/>
    <w:uiPriority w:val="0"/>
    <w:pPr>
      <w:adjustRightInd w:val="0"/>
      <w:snapToGrid w:val="0"/>
      <w:spacing w:after="0" w:line="360" w:lineRule="auto"/>
      <w:ind w:firstLine="480"/>
    </w:pPr>
    <w:rPr>
      <w:kern w:val="0"/>
      <w:sz w:val="24"/>
      <w:szCs w:val="24"/>
    </w:rPr>
  </w:style>
  <w:style w:type="paragraph" w:customStyle="1" w:styleId="233">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0"/>
    <w:pPr>
      <w:spacing w:line="300" w:lineRule="auto"/>
      <w:ind w:firstLine="200" w:firstLineChars="200"/>
    </w:pPr>
    <w:rPr>
      <w:sz w:val="24"/>
      <w:szCs w:val="24"/>
    </w:rPr>
  </w:style>
  <w:style w:type="paragraph" w:customStyle="1" w:styleId="237">
    <w:name w:val="样式 行距: 1.5 倍行距1"/>
    <w:basedOn w:val="1"/>
    <w:qFormat/>
    <w:uiPriority w:val="0"/>
    <w:pPr>
      <w:snapToGrid w:val="0"/>
    </w:pPr>
    <w:rPr>
      <w:sz w:val="21"/>
      <w:szCs w:val="21"/>
    </w:rPr>
  </w:style>
  <w:style w:type="paragraph" w:customStyle="1" w:styleId="238">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39">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17"/>
    <w:qFormat/>
    <w:uiPriority w:val="0"/>
    <w:pPr>
      <w:ind w:firstLine="480" w:firstLineChars="200"/>
    </w:pPr>
  </w:style>
  <w:style w:type="paragraph" w:customStyle="1" w:styleId="242">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3"/>
    <w:qFormat/>
    <w:uiPriority w:val="0"/>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0"/>
    <w:pPr>
      <w:spacing w:before="60" w:after="60" w:line="360" w:lineRule="auto"/>
      <w:ind w:left="200" w:leftChars="200" w:firstLine="200" w:firstLineChars="200"/>
    </w:pPr>
    <w:rPr>
      <w:sz w:val="24"/>
      <w:szCs w:val="24"/>
    </w:rPr>
  </w:style>
  <w:style w:type="paragraph" w:customStyle="1" w:styleId="245">
    <w:name w:val="Title - Date"/>
    <w:basedOn w:val="54"/>
    <w:next w:val="1"/>
    <w:qFormat/>
    <w:uiPriority w:val="0"/>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0"/>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0"/>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0"/>
    <w:pPr>
      <w:spacing w:before="120" w:after="120" w:line="360" w:lineRule="auto"/>
      <w:jc w:val="center"/>
    </w:pPr>
    <w:rPr>
      <w:rFonts w:eastAsia="仿宋_GB2312"/>
      <w:b/>
      <w:bCs/>
      <w:sz w:val="24"/>
      <w:szCs w:val="24"/>
    </w:rPr>
  </w:style>
  <w:style w:type="paragraph" w:customStyle="1" w:styleId="256">
    <w:name w:val="编号正文"/>
    <w:basedOn w:val="147"/>
    <w:qFormat/>
    <w:uiPriority w:val="0"/>
    <w:pPr>
      <w:snapToGrid/>
      <w:spacing w:line="360" w:lineRule="auto"/>
      <w:ind w:left="1407" w:hanging="1047"/>
      <w:jc w:val="left"/>
    </w:pPr>
    <w:rPr>
      <w:rFonts w:eastAsia="仿宋_GB2312"/>
    </w:rPr>
  </w:style>
  <w:style w:type="paragraph" w:customStyle="1" w:styleId="257">
    <w:name w:val="文章正文"/>
    <w:basedOn w:val="1"/>
    <w:qFormat/>
    <w:uiPriority w:val="0"/>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1"/>
    <w:qFormat/>
    <w:uiPriority w:val="0"/>
    <w:pPr>
      <w:adjustRightInd w:val="0"/>
    </w:pPr>
    <w:rPr>
      <w:color w:val="000000"/>
      <w:lang w:val="en-GB"/>
    </w:rPr>
  </w:style>
  <w:style w:type="paragraph" w:customStyle="1" w:styleId="260">
    <w:name w:val="二级列表"/>
    <w:basedOn w:val="199"/>
    <w:next w:val="199"/>
    <w:qFormat/>
    <w:uiPriority w:val="0"/>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4">
    <w:name w:val="font21"/>
    <w:basedOn w:val="59"/>
    <w:qFormat/>
    <w:uiPriority w:val="0"/>
    <w:rPr>
      <w:rFonts w:ascii="Calibri" w:hAnsi="Calibri" w:cs="Calibri"/>
      <w:color w:val="000000"/>
      <w:sz w:val="28"/>
      <w:szCs w:val="28"/>
      <w:u w:val="none"/>
    </w:rPr>
  </w:style>
  <w:style w:type="character" w:customStyle="1" w:styleId="265">
    <w:name w:val="font01"/>
    <w:basedOn w:val="59"/>
    <w:qFormat/>
    <w:uiPriority w:val="0"/>
    <w:rPr>
      <w:rFonts w:hint="eastAsia" w:ascii="宋体" w:hAnsi="宋体" w:eastAsia="宋体" w:cs="宋体"/>
      <w:color w:val="000000"/>
      <w:sz w:val="28"/>
      <w:szCs w:val="28"/>
      <w:u w:val="none"/>
    </w:rPr>
  </w:style>
  <w:style w:type="paragraph" w:customStyle="1" w:styleId="266">
    <w:name w:val="_Style 265"/>
    <w:unhideWhenUsed/>
    <w:qFormat/>
    <w:uiPriority w:val="99"/>
    <w:rPr>
      <w:rFonts w:ascii="Times New Roman" w:hAnsi="Times New Roman" w:eastAsia="宋体" w:cs="Times New Roman"/>
      <w:lang w:val="en-US" w:eastAsia="zh-CN" w:bidi="ar-SA"/>
    </w:rPr>
  </w:style>
  <w:style w:type="character" w:customStyle="1" w:styleId="267">
    <w:name w:val="Table Text Char1 Char"/>
    <w:qFormat/>
    <w:uiPriority w:val="0"/>
    <w:rPr>
      <w:rFonts w:ascii="Arial" w:hAnsi="Arial"/>
      <w:kern w:val="2"/>
      <w:sz w:val="18"/>
      <w:lang w:val="en-US" w:eastAsia="zh-CN" w:bidi="ar-SA"/>
    </w:rPr>
  </w:style>
  <w:style w:type="character" w:customStyle="1" w:styleId="268">
    <w:name w:val="Table Text Char"/>
    <w:qFormat/>
    <w:uiPriority w:val="0"/>
    <w:rPr>
      <w:rFonts w:ascii="Arial" w:hAnsi="Arial"/>
      <w:kern w:val="2"/>
      <w:sz w:val="18"/>
      <w:lang w:val="en-US" w:eastAsia="zh-CN" w:bidi="ar-SA"/>
    </w:rPr>
  </w:style>
  <w:style w:type="character" w:customStyle="1" w:styleId="269">
    <w:name w:val="Char Char"/>
    <w:qFormat/>
    <w:uiPriority w:val="0"/>
    <w:rPr>
      <w:rFonts w:ascii="宋体" w:hAnsi="宋体" w:eastAsia="宋体"/>
      <w:kern w:val="2"/>
      <w:sz w:val="24"/>
      <w:lang w:val="en-US" w:eastAsia="zh-CN" w:bidi="ar-SA"/>
    </w:rPr>
  </w:style>
  <w:style w:type="character" w:customStyle="1" w:styleId="270">
    <w:name w:val="文字 Char"/>
    <w:qFormat/>
    <w:uiPriority w:val="0"/>
    <w:rPr>
      <w:rFonts w:ascii="宋体" w:eastAsia="宋体"/>
      <w:sz w:val="28"/>
    </w:rPr>
  </w:style>
  <w:style w:type="paragraph" w:customStyle="1" w:styleId="271">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4">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5">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styleId="277">
    <w:name w:val="List Paragraph"/>
    <w:basedOn w:val="1"/>
    <w:unhideWhenUsed/>
    <w:qFormat/>
    <w:uiPriority w:val="34"/>
    <w:pPr>
      <w:ind w:firstLine="420" w:firstLineChars="200"/>
    </w:pPr>
    <w:rPr>
      <w:szCs w:val="20"/>
    </w:rPr>
  </w:style>
  <w:style w:type="character" w:customStyle="1" w:styleId="278">
    <w:name w:val="font71"/>
    <w:basedOn w:val="5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A649C-B65B-4C5B-83DB-273BE5E22D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3196</Words>
  <Characters>18222</Characters>
  <Lines>151</Lines>
  <Paragraphs>42</Paragraphs>
  <TotalTime>16</TotalTime>
  <ScaleCrop>false</ScaleCrop>
  <LinksUpToDate>false</LinksUpToDate>
  <CharactersWithSpaces>21376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2021-07-22T13:02:00Z</dcterms:created>
  <dc:creator>微软用户</dc:creator>
  <cp:lastModifiedBy>10704</cp:lastModifiedBy>
  <cp:lastPrinted>2019-07-11T06:32:00Z</cp:lastPrinted>
  <dcterms:modified xsi:type="dcterms:W3CDTF">2021-07-27T07:43:03Z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ADB7B842113642E2A6E2DD10C49965F0</vt:lpwstr>
  </property>
</Properties>
</file>