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eastAsia" w:ascii="方正黑体_GBK" w:hAnsi="黑体" w:eastAsia="方正黑体_GBK" w:cs="宋体"/>
          <w:kern w:val="0"/>
        </w:rPr>
      </w:pPr>
      <w:r>
        <w:rPr>
          <w:rFonts w:hint="eastAsia" w:ascii="方正黑体_GBK" w:hAnsi="黑体" w:eastAsia="方正黑体_GBK" w:cs="宋体"/>
          <w:kern w:val="0"/>
        </w:rPr>
        <w:t>附件2</w:t>
      </w:r>
    </w:p>
    <w:p>
      <w:pPr>
        <w:widowControl/>
        <w:spacing w:before="68" w:after="68" w:line="594" w:lineRule="exact"/>
        <w:jc w:val="center"/>
        <w:rPr>
          <w:rFonts w:hint="eastAsia" w:ascii="方正小标宋_GBK" w:hAnsi="黑体" w:eastAsia="方正小标宋_GBK" w:cs="宋体"/>
          <w:kern w:val="0"/>
        </w:rPr>
      </w:pPr>
      <w:r>
        <w:rPr>
          <w:rFonts w:hint="eastAsia" w:ascii="方正小标宋_GBK" w:hAnsi="黑体" w:eastAsia="方正小标宋_GBK" w:cs="宋体"/>
          <w:kern w:val="0"/>
        </w:rPr>
        <w:t>2021年度“三峡杯”优质中熟柑橘评选标准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83"/>
        <w:gridCol w:w="2067"/>
        <w:gridCol w:w="2766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7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果实 外观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40分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大小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7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符合该品种典型大小的5分，过大、过小酌情扣分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spacing w:val="-14"/>
                <w:kern w:val="0"/>
                <w:sz w:val="24"/>
                <w:szCs w:val="24"/>
              </w:rPr>
              <w:t>整齐度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7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果实大小均匀优5分、良4分、差3分及以下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果形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10分</w:t>
            </w:r>
          </w:p>
        </w:tc>
        <w:tc>
          <w:tcPr>
            <w:tcW w:w="2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有该品种的典型特征，果形端庄、整齐为优10、9分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有该品种的典型特征，果形端庄、较整齐为良8、7分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有该品种的典型特征，无明显畸形果为6分及以下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色泽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10分</w:t>
            </w:r>
          </w:p>
        </w:tc>
        <w:tc>
          <w:tcPr>
            <w:tcW w:w="2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橙红或桔红或玫瑰红，或该品种典型颜色，着色均匀优为10、9分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浅橙红或浅桔红或浅玫瑰红，或基本具备该品种典型颜色，基本着色较均匀为8、7分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浅橙红或浅桔红或浅玫瑰红，或部分具备该品种典型颜色，着色不均匀为6分及以下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果面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10分</w:t>
            </w:r>
          </w:p>
        </w:tc>
        <w:tc>
          <w:tcPr>
            <w:tcW w:w="2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果面清洁、光滑、油胞细腻，无花斑为10、9分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果面较清洁、较光滑、油胞较细腻，有轻微花斑为8、7分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果面不清洁、不光滑、油胞不细腻，有较大面积花斑6分及以下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果实内质50分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果皮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7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均匀整齐，甜橙3～4mm，满分；每增加或减少0.2mm均扣1分，扣完不得分。杂柑重点是果皮整齐度，果皮不整齐的，按轻度、中度、重度酌情扣分1-3分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种子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7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0～3粒种子为满分，每增加一粒扣1分，瘪粒扣0.5分，扣完不得分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可固15分</w:t>
            </w:r>
          </w:p>
        </w:tc>
        <w:tc>
          <w:tcPr>
            <w:tcW w:w="76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≥10.0%为10分，每下降0.5%扣除1分，上升0.5%加1分。加分到15分封顶，扣分不封底，现场测试为准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风味15分</w:t>
            </w:r>
          </w:p>
        </w:tc>
        <w:tc>
          <w:tcPr>
            <w:tcW w:w="2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风味浓郁，细嫩化渣，无异味优为15、14、13分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风味较浓郁，较细嫩化渣，无异味为12、11、10分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风味淡，化渣程度差或有明显异味9分及以下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香气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2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有本品种固有浓郁香气5分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有本品种固有香气略淡4、3分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有本品种固有香气偏淡2分以下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果汁</w:t>
            </w:r>
          </w:p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2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果汁多5分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果汁较多4、3分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果汁少2分及以下，果蒂部枯水的不得分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center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品牌包装10分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有产品包装。（1分）</w:t>
            </w:r>
          </w:p>
          <w:p>
            <w:pPr>
              <w:widowControl/>
              <w:spacing w:before="68" w:after="68" w:line="260" w:lineRule="exact"/>
              <w:jc w:val="left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包装设计特色鲜明、简洁漂亮，包装箱符合水果包装要求，满足防潮、通气和方便堆垛、装运的基本要求。（1分）</w:t>
            </w:r>
          </w:p>
          <w:p>
            <w:pPr>
              <w:widowControl/>
              <w:spacing w:before="68" w:after="68" w:line="260" w:lineRule="exact"/>
              <w:jc w:val="left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经许可的“三峡柑橘”商标，地理标志产品保护区标识（每项各2分，可累加至4分）。</w:t>
            </w:r>
          </w:p>
          <w:p>
            <w:pPr>
              <w:widowControl/>
              <w:spacing w:before="68" w:after="68" w:line="260" w:lineRule="exact"/>
              <w:jc w:val="left"/>
              <w:rPr>
                <w:rFonts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参评单位或产品已获得有效绿色食品、有机食品、良好农业认证，出口基地备案，获市级以上名牌农产品。（每项各1分，可累加至4分）</w:t>
            </w:r>
          </w:p>
        </w:tc>
      </w:tr>
    </w:tbl>
    <w:p>
      <w:pPr>
        <w:rPr>
          <w:rFonts w:hint="eastAsia" w:eastAsia="华文仿宋"/>
          <w:lang w:val="en-US" w:eastAsia="zh-CN"/>
        </w:rPr>
      </w:pPr>
      <w:bookmarkStart w:id="0" w:name="_GoBack"/>
      <w:bookmarkEnd w:id="0"/>
    </w:p>
    <w:sectPr>
      <w:pgSz w:w="11906" w:h="16838"/>
      <w:pgMar w:top="1327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25E17"/>
    <w:rsid w:val="12D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2021-12-16T04:44:00Z</dcterms:created>
  <dc:creator>H</dc:creator>
  <cp:lastModifiedBy>H</cp:lastModifiedBy>
  <dcterms:modified xsi:type="dcterms:W3CDTF">2021-12-16T04:46:37Z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D841AC23535B459CAB59DCE214DCC3DB</vt:lpwstr>
  </property>
</Properties>
</file>