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sz w:val="120"/>
          <w:szCs w:val="120"/>
        </w:rPr>
      </w:pPr>
    </w:p>
    <w:p>
      <w:pPr>
        <w:spacing w:line="360" w:lineRule="auto"/>
        <w:jc w:val="center"/>
        <w:outlineLvl w:val="0"/>
        <w:rPr>
          <w:rFonts w:ascii="宋体" w:hAnsi="宋体" w:cs="宋体"/>
          <w:sz w:val="36"/>
          <w:szCs w:val="36"/>
        </w:rPr>
      </w:pPr>
      <w:bookmarkStart w:id="0" w:name="_Toc24490"/>
      <w:bookmarkStart w:id="1" w:name="_Toc29447"/>
      <w:r>
        <w:rPr>
          <w:rFonts w:hint="eastAsia" w:ascii="宋体" w:hAnsi="宋体" w:cs="宋体"/>
          <w:b/>
          <w:spacing w:val="80"/>
          <w:sz w:val="84"/>
          <w:szCs w:val="84"/>
        </w:rPr>
        <w:t>询价通知书</w:t>
      </w:r>
      <w:bookmarkEnd w:id="0"/>
      <w:bookmarkEnd w:id="1"/>
    </w:p>
    <w:p>
      <w:pPr>
        <w:spacing w:line="360" w:lineRule="auto"/>
        <w:rPr>
          <w:rFonts w:ascii="宋体" w:hAnsi="宋体" w:cs="宋体"/>
          <w:sz w:val="36"/>
          <w:szCs w:val="36"/>
        </w:rPr>
      </w:pPr>
    </w:p>
    <w:p>
      <w:pPr>
        <w:spacing w:line="360" w:lineRule="auto"/>
        <w:ind w:firstLine="1440" w:firstLineChars="400"/>
        <w:rPr>
          <w:rFonts w:ascii="宋体" w:hAnsi="宋体" w:cs="宋体"/>
          <w:sz w:val="36"/>
          <w:szCs w:val="36"/>
        </w:rPr>
      </w:pPr>
    </w:p>
    <w:p>
      <w:pPr>
        <w:spacing w:line="360" w:lineRule="auto"/>
        <w:ind w:firstLine="1440" w:firstLineChars="400"/>
        <w:rPr>
          <w:rFonts w:ascii="宋体" w:hAnsi="宋体" w:cs="宋体"/>
          <w:sz w:val="36"/>
          <w:szCs w:val="36"/>
        </w:rPr>
      </w:pPr>
      <w:r>
        <w:rPr>
          <w:rFonts w:hint="eastAsia" w:ascii="宋体" w:hAnsi="宋体" w:cs="宋体"/>
          <w:sz w:val="36"/>
          <w:szCs w:val="36"/>
        </w:rPr>
        <w:t>项目编号：CQS22C01294</w:t>
      </w:r>
    </w:p>
    <w:p>
      <w:pPr>
        <w:spacing w:line="360" w:lineRule="auto"/>
        <w:ind w:left="1434" w:leftChars="512"/>
        <w:outlineLvl w:val="0"/>
        <w:rPr>
          <w:rFonts w:ascii="宋体" w:hAnsi="宋体" w:cs="宋体"/>
          <w:sz w:val="36"/>
          <w:szCs w:val="36"/>
        </w:rPr>
      </w:pPr>
      <w:bookmarkStart w:id="2" w:name="_Toc30183"/>
      <w:bookmarkStart w:id="3" w:name="_Toc7910"/>
      <w:r>
        <w:rPr>
          <w:rFonts w:hint="eastAsia" w:ascii="宋体" w:hAnsi="宋体" w:cs="宋体"/>
          <w:sz w:val="36"/>
          <w:szCs w:val="36"/>
        </w:rPr>
        <w:t>项目名称：三峡柑橘精美宣传画册制作</w:t>
      </w:r>
      <w:bookmarkEnd w:id="2"/>
      <w:bookmarkEnd w:id="3"/>
    </w:p>
    <w:p>
      <w:pPr>
        <w:pStyle w:val="56"/>
        <w:ind w:left="560" w:firstLine="880"/>
        <w:rPr>
          <w:rFonts w:ascii="宋体" w:hAnsi="宋体" w:cs="宋体"/>
        </w:rPr>
      </w:pPr>
    </w:p>
    <w:p>
      <w:pPr>
        <w:pStyle w:val="56"/>
        <w:ind w:left="560" w:firstLine="880"/>
        <w:rPr>
          <w:rFonts w:ascii="宋体" w:hAnsi="宋体" w:cs="宋体"/>
        </w:rPr>
      </w:pPr>
    </w:p>
    <w:p>
      <w:pPr>
        <w:pStyle w:val="56"/>
        <w:ind w:left="560" w:firstLine="880"/>
        <w:rPr>
          <w:rFonts w:ascii="宋体" w:hAnsi="宋体" w:cs="宋体"/>
        </w:rPr>
      </w:pPr>
    </w:p>
    <w:p>
      <w:pPr>
        <w:pStyle w:val="56"/>
        <w:ind w:left="560" w:firstLine="880"/>
        <w:rPr>
          <w:rFonts w:ascii="宋体" w:hAnsi="宋体" w:cs="宋体"/>
        </w:rPr>
      </w:pPr>
    </w:p>
    <w:p>
      <w:pPr>
        <w:spacing w:line="360" w:lineRule="auto"/>
        <w:ind w:firstLine="1440" w:firstLineChars="400"/>
        <w:rPr>
          <w:rFonts w:ascii="宋体" w:hAnsi="宋体" w:cs="宋体"/>
          <w:sz w:val="36"/>
          <w:szCs w:val="36"/>
        </w:rPr>
      </w:pPr>
      <w:r>
        <w:rPr>
          <w:rFonts w:hint="eastAsia" w:ascii="宋体" w:hAnsi="宋体" w:cs="宋体"/>
          <w:sz w:val="36"/>
          <w:szCs w:val="36"/>
        </w:rPr>
        <w:t>采   购   人：重庆市柑橘产业协会</w:t>
      </w:r>
    </w:p>
    <w:p>
      <w:pPr>
        <w:spacing w:line="360" w:lineRule="auto"/>
        <w:ind w:firstLine="1440" w:firstLineChars="400"/>
        <w:rPr>
          <w:rFonts w:ascii="宋体" w:hAnsi="宋体" w:cs="宋体"/>
          <w:sz w:val="36"/>
          <w:szCs w:val="36"/>
        </w:rPr>
      </w:pPr>
      <w:r>
        <w:rPr>
          <w:rFonts w:hint="eastAsia" w:ascii="宋体" w:hAnsi="宋体" w:cs="宋体"/>
          <w:sz w:val="36"/>
          <w:szCs w:val="36"/>
        </w:rPr>
        <w:t>采购代理机构：重庆优凯项目管理有限公司</w:t>
      </w:r>
    </w:p>
    <w:p>
      <w:pPr>
        <w:spacing w:line="360" w:lineRule="auto"/>
        <w:rPr>
          <w:rFonts w:ascii="宋体" w:hAnsi="宋体" w:cs="宋体"/>
          <w:sz w:val="36"/>
          <w:szCs w:val="36"/>
        </w:rPr>
      </w:pPr>
    </w:p>
    <w:p>
      <w:pPr>
        <w:spacing w:line="720" w:lineRule="exact"/>
        <w:jc w:val="center"/>
        <w:outlineLvl w:val="0"/>
        <w:rPr>
          <w:rFonts w:ascii="宋体" w:hAnsi="宋体" w:cs="宋体"/>
          <w:sz w:val="48"/>
          <w:szCs w:val="32"/>
        </w:rPr>
      </w:pPr>
      <w:r>
        <w:rPr>
          <w:rFonts w:hint="eastAsia" w:ascii="宋体" w:hAnsi="宋体" w:cs="宋体"/>
          <w:sz w:val="36"/>
          <w:szCs w:val="36"/>
        </w:rPr>
        <w:t>二〇二三年三月</w:t>
      </w:r>
    </w:p>
    <w:p>
      <w:pPr>
        <w:spacing w:line="360" w:lineRule="auto"/>
        <w:jc w:val="center"/>
        <w:rPr>
          <w:rFonts w:ascii="宋体" w:hAnsi="宋体" w:cs="宋体"/>
          <w:sz w:val="36"/>
          <w:szCs w:val="36"/>
        </w:rPr>
      </w:pPr>
    </w:p>
    <w:p>
      <w:pPr>
        <w:spacing w:line="360" w:lineRule="auto"/>
        <w:jc w:val="center"/>
        <w:outlineLvl w:val="0"/>
        <w:rPr>
          <w:rFonts w:ascii="宋体" w:hAnsi="宋体" w:cs="宋体"/>
          <w:b/>
          <w:sz w:val="48"/>
          <w:szCs w:val="48"/>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021" w:left="1304" w:header="964" w:footer="992" w:gutter="0"/>
          <w:pgNumType w:fmt="numberInDash" w:start="0"/>
          <w:cols w:space="720" w:num="1"/>
          <w:titlePg/>
          <w:docGrid w:linePitch="312" w:charSpace="0"/>
        </w:sectPr>
      </w:pPr>
    </w:p>
    <w:p>
      <w:pPr>
        <w:spacing w:line="360" w:lineRule="exact"/>
        <w:jc w:val="center"/>
        <w:outlineLvl w:val="0"/>
        <w:rPr>
          <w:rFonts w:ascii="宋体" w:hAnsi="宋体" w:cs="宋体"/>
          <w:b/>
          <w:sz w:val="48"/>
          <w:szCs w:val="48"/>
        </w:rPr>
      </w:pPr>
    </w:p>
    <w:p>
      <w:pPr>
        <w:spacing w:line="360" w:lineRule="auto"/>
        <w:jc w:val="center"/>
        <w:outlineLvl w:val="0"/>
        <w:rPr>
          <w:rFonts w:ascii="宋体" w:hAnsi="宋体" w:cs="宋体"/>
          <w:b/>
          <w:sz w:val="48"/>
          <w:szCs w:val="48"/>
        </w:rPr>
      </w:pPr>
      <w:bookmarkStart w:id="4" w:name="_Toc24400"/>
      <w:bookmarkStart w:id="5" w:name="_Toc31613"/>
      <w:r>
        <w:rPr>
          <w:rFonts w:hint="eastAsia" w:ascii="宋体" w:hAnsi="宋体" w:cs="宋体"/>
          <w:b/>
          <w:sz w:val="48"/>
          <w:szCs w:val="48"/>
        </w:rPr>
        <w:t>目录</w:t>
      </w:r>
      <w:bookmarkEnd w:id="4"/>
      <w:bookmarkEnd w:id="5"/>
    </w:p>
    <w:p>
      <w:pPr>
        <w:pStyle w:val="38"/>
        <w:tabs>
          <w:tab w:val="right" w:leader="dot" w:pos="9412"/>
        </w:tabs>
      </w:pPr>
      <w:bookmarkStart w:id="6" w:name="_Toc31206"/>
      <w:bookmarkStart w:id="7" w:name="_Toc12789052"/>
      <w:bookmarkStart w:id="8" w:name="_Toc9956"/>
      <w:bookmarkStart w:id="9" w:name="_Toc521318162"/>
      <w:bookmarkStart w:id="10" w:name="_Toc487204770"/>
      <w:bookmarkStart w:id="11" w:name="_Toc11641050"/>
      <w:r>
        <w:rPr>
          <w:rFonts w:hint="eastAsia" w:ascii="宋体" w:hAnsi="宋体" w:cs="宋体"/>
          <w:b/>
          <w:sz w:val="21"/>
          <w:szCs w:val="21"/>
        </w:rPr>
        <w:fldChar w:fldCharType="begin"/>
      </w:r>
      <w:r>
        <w:rPr>
          <w:rFonts w:hint="eastAsia" w:ascii="宋体" w:hAnsi="宋体" w:cs="宋体"/>
          <w:b/>
          <w:sz w:val="21"/>
          <w:szCs w:val="21"/>
        </w:rPr>
        <w:instrText xml:space="preserve">TOC \o "1-2" \h \u </w:instrText>
      </w:r>
      <w:r>
        <w:rPr>
          <w:rFonts w:hint="eastAsia" w:ascii="宋体" w:hAnsi="宋体" w:cs="宋体"/>
          <w:b/>
          <w:sz w:val="21"/>
          <w:szCs w:val="21"/>
        </w:rPr>
        <w:fldChar w:fldCharType="separate"/>
      </w:r>
    </w:p>
    <w:p>
      <w:pPr>
        <w:pStyle w:val="46"/>
        <w:tabs>
          <w:tab w:val="right" w:leader="dot" w:pos="9412"/>
        </w:tabs>
        <w:ind w:left="560"/>
      </w:pPr>
      <w:r>
        <w:fldChar w:fldCharType="begin"/>
      </w:r>
      <w:r>
        <w:instrText xml:space="preserve"> HYPERLINK \l "_Toc30149" </w:instrText>
      </w:r>
      <w:r>
        <w:fldChar w:fldCharType="separate"/>
      </w:r>
      <w:r>
        <w:rPr>
          <w:rFonts w:hint="eastAsia" w:ascii="宋体" w:hAnsi="宋体" w:cs="宋体"/>
          <w:b/>
          <w:bCs/>
          <w:szCs w:val="44"/>
        </w:rPr>
        <w:t>第一篇 询价邀请书</w:t>
      </w:r>
      <w:r>
        <w:tab/>
      </w:r>
      <w:r>
        <w:fldChar w:fldCharType="begin"/>
      </w:r>
      <w:r>
        <w:instrText xml:space="preserve"> PAGEREF _Toc30149 \h </w:instrText>
      </w:r>
      <w:r>
        <w:fldChar w:fldCharType="separate"/>
      </w:r>
      <w:r>
        <w:t>- 2 -</w:t>
      </w:r>
      <w:r>
        <w:fldChar w:fldCharType="end"/>
      </w:r>
      <w:r>
        <w:fldChar w:fldCharType="end"/>
      </w:r>
    </w:p>
    <w:p>
      <w:pPr>
        <w:pStyle w:val="46"/>
        <w:tabs>
          <w:tab w:val="right" w:leader="dot" w:pos="9412"/>
        </w:tabs>
        <w:ind w:left="560"/>
        <w:rPr>
          <w:b/>
          <w:bCs/>
        </w:rPr>
      </w:pPr>
      <w:r>
        <w:fldChar w:fldCharType="begin"/>
      </w:r>
      <w:r>
        <w:instrText xml:space="preserve"> HYPERLINK \l "_Toc31217" </w:instrText>
      </w:r>
      <w:r>
        <w:fldChar w:fldCharType="separate"/>
      </w:r>
      <w:r>
        <w:rPr>
          <w:rFonts w:hint="eastAsia" w:ascii="宋体" w:hAnsi="宋体" w:cs="宋体"/>
          <w:b/>
          <w:bCs/>
          <w:szCs w:val="44"/>
        </w:rPr>
        <w:t>第二篇 询价项目技术（质量）需求</w:t>
      </w:r>
      <w:r>
        <w:rPr>
          <w:b/>
          <w:bCs/>
        </w:rPr>
        <w:tab/>
      </w:r>
      <w:r>
        <w:rPr>
          <w:b/>
          <w:bCs/>
        </w:rPr>
        <w:fldChar w:fldCharType="begin"/>
      </w:r>
      <w:r>
        <w:rPr>
          <w:b/>
          <w:bCs/>
        </w:rPr>
        <w:instrText xml:space="preserve"> PAGEREF _Toc31217 \h </w:instrText>
      </w:r>
      <w:r>
        <w:rPr>
          <w:b/>
          <w:bCs/>
        </w:rPr>
        <w:fldChar w:fldCharType="separate"/>
      </w:r>
      <w:r>
        <w:rPr>
          <w:b/>
          <w:bCs/>
        </w:rPr>
        <w:t>- 6 -</w:t>
      </w:r>
      <w:r>
        <w:rPr>
          <w:b/>
          <w:bCs/>
        </w:rPr>
        <w:fldChar w:fldCharType="end"/>
      </w:r>
      <w:r>
        <w:rPr>
          <w:b/>
          <w:bCs/>
        </w:rPr>
        <w:fldChar w:fldCharType="end"/>
      </w:r>
    </w:p>
    <w:p>
      <w:pPr>
        <w:pStyle w:val="46"/>
        <w:tabs>
          <w:tab w:val="right" w:leader="dot" w:pos="9412"/>
        </w:tabs>
        <w:ind w:left="560"/>
      </w:pPr>
      <w:r>
        <w:fldChar w:fldCharType="begin"/>
      </w:r>
      <w:r>
        <w:instrText xml:space="preserve"> HYPERLINK \l "_Toc27350" </w:instrText>
      </w:r>
      <w:r>
        <w:fldChar w:fldCharType="separate"/>
      </w:r>
      <w:r>
        <w:rPr>
          <w:rFonts w:hint="eastAsia" w:ascii="宋体" w:hAnsi="宋体" w:cs="宋体"/>
          <w:b/>
          <w:bCs/>
          <w:szCs w:val="44"/>
        </w:rPr>
        <w:t>第三篇 询价项目服务需求</w:t>
      </w:r>
      <w:r>
        <w:rPr>
          <w:b/>
          <w:bCs/>
        </w:rPr>
        <w:tab/>
      </w:r>
      <w:r>
        <w:rPr>
          <w:b/>
          <w:bCs/>
        </w:rPr>
        <w:fldChar w:fldCharType="begin"/>
      </w:r>
      <w:r>
        <w:rPr>
          <w:b/>
          <w:bCs/>
        </w:rPr>
        <w:instrText xml:space="preserve"> PAGEREF _Toc27350 \h </w:instrText>
      </w:r>
      <w:r>
        <w:rPr>
          <w:b/>
          <w:bCs/>
        </w:rPr>
        <w:fldChar w:fldCharType="separate"/>
      </w:r>
      <w:r>
        <w:rPr>
          <w:b/>
          <w:bCs/>
        </w:rPr>
        <w:t>- 7 -</w:t>
      </w:r>
      <w:r>
        <w:rPr>
          <w:b/>
          <w:bCs/>
        </w:rPr>
        <w:fldChar w:fldCharType="end"/>
      </w:r>
      <w:r>
        <w:rPr>
          <w:b/>
          <w:bCs/>
        </w:rPr>
        <w:fldChar w:fldCharType="end"/>
      </w:r>
    </w:p>
    <w:p>
      <w:pPr>
        <w:pStyle w:val="46"/>
        <w:tabs>
          <w:tab w:val="right" w:leader="dot" w:pos="9412"/>
        </w:tabs>
        <w:ind w:left="560" w:firstLine="560" w:firstLineChars="200"/>
      </w:pPr>
      <w:r>
        <w:fldChar w:fldCharType="begin"/>
      </w:r>
      <w:r>
        <w:instrText xml:space="preserve"> HYPERLINK \l "_Toc23712" </w:instrText>
      </w:r>
      <w:r>
        <w:fldChar w:fldCharType="separate"/>
      </w:r>
      <w:r>
        <w:rPr>
          <w:rFonts w:hint="eastAsia" w:ascii="宋体" w:hAnsi="宋体" w:cs="宋体"/>
        </w:rPr>
        <w:t>一、交货时间、地点及验收方式</w:t>
      </w:r>
      <w:r>
        <w:tab/>
      </w:r>
      <w:r>
        <w:fldChar w:fldCharType="begin"/>
      </w:r>
      <w:r>
        <w:instrText xml:space="preserve"> PAGEREF _Toc23712 \h </w:instrText>
      </w:r>
      <w:r>
        <w:fldChar w:fldCharType="separate"/>
      </w:r>
      <w:r>
        <w:t>- 7 -</w:t>
      </w:r>
      <w:r>
        <w:fldChar w:fldCharType="end"/>
      </w:r>
      <w:r>
        <w:fldChar w:fldCharType="end"/>
      </w:r>
    </w:p>
    <w:p>
      <w:pPr>
        <w:pStyle w:val="46"/>
        <w:tabs>
          <w:tab w:val="right" w:leader="dot" w:pos="9412"/>
        </w:tabs>
        <w:ind w:left="560" w:firstLine="560" w:firstLineChars="200"/>
      </w:pPr>
      <w:r>
        <w:fldChar w:fldCharType="begin"/>
      </w:r>
      <w:r>
        <w:instrText xml:space="preserve"> HYPERLINK \l "_Toc17347" </w:instrText>
      </w:r>
      <w:r>
        <w:fldChar w:fldCharType="separate"/>
      </w:r>
      <w:r>
        <w:rPr>
          <w:rFonts w:hint="eastAsia" w:ascii="宋体" w:hAnsi="宋体" w:cs="宋体"/>
        </w:rPr>
        <w:t>二、质量保证及售后服务</w:t>
      </w:r>
      <w:r>
        <w:tab/>
      </w:r>
      <w:r>
        <w:fldChar w:fldCharType="begin"/>
      </w:r>
      <w:r>
        <w:instrText xml:space="preserve"> PAGEREF _Toc17347 \h </w:instrText>
      </w:r>
      <w:r>
        <w:fldChar w:fldCharType="separate"/>
      </w:r>
      <w:r>
        <w:t>- 7 -</w:t>
      </w:r>
      <w:r>
        <w:fldChar w:fldCharType="end"/>
      </w:r>
      <w:r>
        <w:fldChar w:fldCharType="end"/>
      </w:r>
    </w:p>
    <w:p>
      <w:pPr>
        <w:pStyle w:val="46"/>
        <w:tabs>
          <w:tab w:val="right" w:leader="dot" w:pos="9412"/>
        </w:tabs>
        <w:ind w:left="560" w:firstLine="560" w:firstLineChars="200"/>
      </w:pPr>
      <w:r>
        <w:fldChar w:fldCharType="begin"/>
      </w:r>
      <w:r>
        <w:instrText xml:space="preserve"> HYPERLINK \l "_Toc31491" </w:instrText>
      </w:r>
      <w:r>
        <w:fldChar w:fldCharType="separate"/>
      </w:r>
      <w:r>
        <w:rPr>
          <w:rFonts w:hint="eastAsia" w:ascii="宋体" w:hAnsi="宋体" w:cs="宋体"/>
        </w:rPr>
        <w:t>三、报价要求</w:t>
      </w:r>
      <w:r>
        <w:tab/>
      </w:r>
      <w:r>
        <w:fldChar w:fldCharType="begin"/>
      </w:r>
      <w:r>
        <w:instrText xml:space="preserve"> PAGEREF _Toc31491 \h </w:instrText>
      </w:r>
      <w:r>
        <w:fldChar w:fldCharType="separate"/>
      </w:r>
      <w:r>
        <w:t>- 8 -</w:t>
      </w:r>
      <w:r>
        <w:fldChar w:fldCharType="end"/>
      </w:r>
      <w:r>
        <w:fldChar w:fldCharType="end"/>
      </w:r>
    </w:p>
    <w:p>
      <w:pPr>
        <w:pStyle w:val="46"/>
        <w:tabs>
          <w:tab w:val="right" w:leader="dot" w:pos="9412"/>
        </w:tabs>
        <w:ind w:left="560" w:firstLine="560" w:firstLineChars="200"/>
      </w:pPr>
      <w:r>
        <w:fldChar w:fldCharType="begin"/>
      </w:r>
      <w:r>
        <w:instrText xml:space="preserve"> HYPERLINK \l "_Toc26811" </w:instrText>
      </w:r>
      <w:r>
        <w:fldChar w:fldCharType="separate"/>
      </w:r>
      <w:r>
        <w:rPr>
          <w:rFonts w:hint="eastAsia" w:ascii="宋体" w:hAnsi="宋体" w:cs="宋体"/>
        </w:rPr>
        <w:t>四、付款方式</w:t>
      </w:r>
      <w:r>
        <w:tab/>
      </w:r>
      <w:r>
        <w:fldChar w:fldCharType="begin"/>
      </w:r>
      <w:r>
        <w:instrText xml:space="preserve"> PAGEREF _Toc26811 \h </w:instrText>
      </w:r>
      <w:r>
        <w:fldChar w:fldCharType="separate"/>
      </w:r>
      <w:r>
        <w:t>- 8 -</w:t>
      </w:r>
      <w:r>
        <w:fldChar w:fldCharType="end"/>
      </w:r>
      <w:r>
        <w:fldChar w:fldCharType="end"/>
      </w:r>
    </w:p>
    <w:p>
      <w:pPr>
        <w:pStyle w:val="46"/>
        <w:tabs>
          <w:tab w:val="right" w:leader="dot" w:pos="9412"/>
        </w:tabs>
        <w:ind w:left="560" w:firstLine="560" w:firstLineChars="200"/>
      </w:pPr>
      <w:r>
        <w:fldChar w:fldCharType="begin"/>
      </w:r>
      <w:r>
        <w:instrText xml:space="preserve"> HYPERLINK \l "_Toc6359" </w:instrText>
      </w:r>
      <w:r>
        <w:fldChar w:fldCharType="separate"/>
      </w:r>
      <w:r>
        <w:rPr>
          <w:rFonts w:hint="eastAsia" w:ascii="宋体" w:hAnsi="宋体" w:cs="宋体"/>
        </w:rPr>
        <w:t>五、知识产权</w:t>
      </w:r>
      <w:r>
        <w:tab/>
      </w:r>
      <w:r>
        <w:fldChar w:fldCharType="begin"/>
      </w:r>
      <w:r>
        <w:instrText xml:space="preserve"> PAGEREF _Toc6359 \h </w:instrText>
      </w:r>
      <w:r>
        <w:fldChar w:fldCharType="separate"/>
      </w:r>
      <w:r>
        <w:t>- 8 -</w:t>
      </w:r>
      <w:r>
        <w:fldChar w:fldCharType="end"/>
      </w:r>
      <w:r>
        <w:fldChar w:fldCharType="end"/>
      </w:r>
    </w:p>
    <w:p>
      <w:pPr>
        <w:pStyle w:val="46"/>
        <w:tabs>
          <w:tab w:val="right" w:leader="dot" w:pos="9412"/>
        </w:tabs>
        <w:ind w:left="560" w:firstLine="560" w:firstLineChars="200"/>
      </w:pPr>
      <w:r>
        <w:fldChar w:fldCharType="begin"/>
      </w:r>
      <w:r>
        <w:instrText xml:space="preserve"> HYPERLINK \l "_Toc16806" </w:instrText>
      </w:r>
      <w:r>
        <w:fldChar w:fldCharType="separate"/>
      </w:r>
      <w:r>
        <w:rPr>
          <w:rFonts w:hint="eastAsia" w:ascii="宋体" w:hAnsi="宋体" w:cs="宋体"/>
        </w:rPr>
        <w:t>六、培训</w:t>
      </w:r>
      <w:r>
        <w:tab/>
      </w:r>
      <w:r>
        <w:fldChar w:fldCharType="begin"/>
      </w:r>
      <w:r>
        <w:instrText xml:space="preserve"> PAGEREF _Toc16806 \h </w:instrText>
      </w:r>
      <w:r>
        <w:fldChar w:fldCharType="separate"/>
      </w:r>
      <w:r>
        <w:t>- 8 -</w:t>
      </w:r>
      <w:r>
        <w:fldChar w:fldCharType="end"/>
      </w:r>
      <w:r>
        <w:fldChar w:fldCharType="end"/>
      </w:r>
    </w:p>
    <w:p>
      <w:pPr>
        <w:pStyle w:val="46"/>
        <w:tabs>
          <w:tab w:val="right" w:leader="dot" w:pos="9412"/>
        </w:tabs>
        <w:ind w:left="560" w:firstLine="560" w:firstLineChars="200"/>
      </w:pPr>
      <w:r>
        <w:fldChar w:fldCharType="begin"/>
      </w:r>
      <w:r>
        <w:instrText xml:space="preserve"> HYPERLINK \l "_Toc27906" </w:instrText>
      </w:r>
      <w:r>
        <w:fldChar w:fldCharType="separate"/>
      </w:r>
      <w:r>
        <w:rPr>
          <w:rFonts w:hint="eastAsia" w:ascii="宋体" w:hAnsi="宋体" w:cs="宋体"/>
        </w:rPr>
        <w:t>七、其他</w:t>
      </w:r>
      <w:r>
        <w:tab/>
      </w:r>
      <w:r>
        <w:fldChar w:fldCharType="begin"/>
      </w:r>
      <w:r>
        <w:instrText xml:space="preserve"> PAGEREF _Toc27906 \h </w:instrText>
      </w:r>
      <w:r>
        <w:fldChar w:fldCharType="separate"/>
      </w:r>
      <w:r>
        <w:t>- 8 -</w:t>
      </w:r>
      <w:r>
        <w:fldChar w:fldCharType="end"/>
      </w:r>
      <w:r>
        <w:fldChar w:fldCharType="end"/>
      </w:r>
    </w:p>
    <w:p>
      <w:pPr>
        <w:pStyle w:val="46"/>
        <w:tabs>
          <w:tab w:val="right" w:leader="dot" w:pos="9412"/>
        </w:tabs>
        <w:ind w:left="560"/>
      </w:pPr>
      <w:r>
        <w:fldChar w:fldCharType="begin"/>
      </w:r>
      <w:r>
        <w:instrText xml:space="preserve"> HYPERLINK \l "_Toc17925" </w:instrText>
      </w:r>
      <w:r>
        <w:fldChar w:fldCharType="separate"/>
      </w:r>
      <w:r>
        <w:rPr>
          <w:rFonts w:hint="eastAsia" w:ascii="宋体" w:hAnsi="宋体" w:cs="宋体"/>
          <w:b/>
          <w:bCs/>
          <w:szCs w:val="30"/>
        </w:rPr>
        <w:t>第四篇  采购程序、评定成交的标准、无效报价及采购终止</w:t>
      </w:r>
      <w:r>
        <w:rPr>
          <w:b/>
          <w:bCs/>
        </w:rPr>
        <w:tab/>
      </w:r>
      <w:r>
        <w:rPr>
          <w:b/>
          <w:bCs/>
        </w:rPr>
        <w:fldChar w:fldCharType="begin"/>
      </w:r>
      <w:r>
        <w:rPr>
          <w:b/>
          <w:bCs/>
        </w:rPr>
        <w:instrText xml:space="preserve"> PAGEREF _Toc17925 \h </w:instrText>
      </w:r>
      <w:r>
        <w:rPr>
          <w:b/>
          <w:bCs/>
        </w:rPr>
        <w:fldChar w:fldCharType="separate"/>
      </w:r>
      <w:r>
        <w:rPr>
          <w:b/>
          <w:bCs/>
        </w:rPr>
        <w:t>- 10 -</w:t>
      </w:r>
      <w:r>
        <w:rPr>
          <w:b/>
          <w:bCs/>
        </w:rPr>
        <w:fldChar w:fldCharType="end"/>
      </w:r>
      <w:r>
        <w:rPr>
          <w:b/>
          <w:bCs/>
        </w:rPr>
        <w:fldChar w:fldCharType="end"/>
      </w:r>
    </w:p>
    <w:p>
      <w:pPr>
        <w:pStyle w:val="46"/>
        <w:tabs>
          <w:tab w:val="right" w:leader="dot" w:pos="9412"/>
        </w:tabs>
        <w:ind w:left="560" w:firstLine="560" w:firstLineChars="200"/>
      </w:pPr>
      <w:r>
        <w:fldChar w:fldCharType="begin"/>
      </w:r>
      <w:r>
        <w:instrText xml:space="preserve"> HYPERLINK \l "_Toc1128" </w:instrText>
      </w:r>
      <w:r>
        <w:fldChar w:fldCharType="separate"/>
      </w:r>
      <w:r>
        <w:rPr>
          <w:rFonts w:hint="eastAsia" w:ascii="宋体" w:hAnsi="宋体" w:cs="宋体"/>
        </w:rPr>
        <w:t>一、采购程序</w:t>
      </w:r>
      <w:r>
        <w:tab/>
      </w:r>
      <w:r>
        <w:fldChar w:fldCharType="begin"/>
      </w:r>
      <w:r>
        <w:instrText xml:space="preserve"> PAGEREF _Toc1128 \h </w:instrText>
      </w:r>
      <w:r>
        <w:fldChar w:fldCharType="separate"/>
      </w:r>
      <w:r>
        <w:t>- 10 -</w:t>
      </w:r>
      <w:r>
        <w:fldChar w:fldCharType="end"/>
      </w:r>
      <w:r>
        <w:fldChar w:fldCharType="end"/>
      </w:r>
    </w:p>
    <w:p>
      <w:pPr>
        <w:pStyle w:val="46"/>
        <w:tabs>
          <w:tab w:val="right" w:leader="dot" w:pos="9412"/>
        </w:tabs>
        <w:ind w:left="560" w:firstLine="560" w:firstLineChars="200"/>
      </w:pPr>
      <w:r>
        <w:fldChar w:fldCharType="begin"/>
      </w:r>
      <w:r>
        <w:instrText xml:space="preserve"> HYPERLINK \l "_Toc7404" </w:instrText>
      </w:r>
      <w:r>
        <w:fldChar w:fldCharType="separate"/>
      </w:r>
      <w:r>
        <w:rPr>
          <w:rFonts w:hint="eastAsia" w:ascii="宋体" w:hAnsi="宋体" w:cs="宋体"/>
        </w:rPr>
        <w:t>二、评定成交的标准</w:t>
      </w:r>
      <w:r>
        <w:tab/>
      </w:r>
      <w:r>
        <w:fldChar w:fldCharType="begin"/>
      </w:r>
      <w:r>
        <w:instrText xml:space="preserve"> PAGEREF _Toc7404 \h </w:instrText>
      </w:r>
      <w:r>
        <w:fldChar w:fldCharType="separate"/>
      </w:r>
      <w:r>
        <w:t>- 11 -</w:t>
      </w:r>
      <w:r>
        <w:fldChar w:fldCharType="end"/>
      </w:r>
      <w:r>
        <w:fldChar w:fldCharType="end"/>
      </w:r>
    </w:p>
    <w:p>
      <w:pPr>
        <w:pStyle w:val="46"/>
        <w:tabs>
          <w:tab w:val="right" w:leader="dot" w:pos="9412"/>
        </w:tabs>
        <w:ind w:left="560" w:firstLine="560" w:firstLineChars="200"/>
      </w:pPr>
      <w:r>
        <w:fldChar w:fldCharType="begin"/>
      </w:r>
      <w:r>
        <w:instrText xml:space="preserve"> HYPERLINK \l "_Toc2183" </w:instrText>
      </w:r>
      <w:r>
        <w:fldChar w:fldCharType="separate"/>
      </w:r>
      <w:r>
        <w:rPr>
          <w:rFonts w:hint="eastAsia" w:ascii="宋体" w:hAnsi="宋体" w:cs="宋体"/>
        </w:rPr>
        <w:t>三、无效报价</w:t>
      </w:r>
      <w:r>
        <w:tab/>
      </w:r>
      <w:r>
        <w:fldChar w:fldCharType="begin"/>
      </w:r>
      <w:r>
        <w:instrText xml:space="preserve"> PAGEREF _Toc2183 \h </w:instrText>
      </w:r>
      <w:r>
        <w:fldChar w:fldCharType="separate"/>
      </w:r>
      <w:r>
        <w:t>- 12 -</w:t>
      </w:r>
      <w:r>
        <w:fldChar w:fldCharType="end"/>
      </w:r>
      <w:r>
        <w:fldChar w:fldCharType="end"/>
      </w:r>
    </w:p>
    <w:p>
      <w:pPr>
        <w:pStyle w:val="46"/>
        <w:tabs>
          <w:tab w:val="right" w:leader="dot" w:pos="9412"/>
        </w:tabs>
        <w:ind w:left="560" w:firstLine="560" w:firstLineChars="200"/>
      </w:pPr>
      <w:r>
        <w:fldChar w:fldCharType="begin"/>
      </w:r>
      <w:r>
        <w:instrText xml:space="preserve"> HYPERLINK \l "_Toc21943" </w:instrText>
      </w:r>
      <w:r>
        <w:fldChar w:fldCharType="separate"/>
      </w:r>
      <w:r>
        <w:rPr>
          <w:rFonts w:hint="eastAsia" w:ascii="宋体" w:hAnsi="宋体" w:cs="宋体"/>
        </w:rPr>
        <w:t>四、采购终止</w:t>
      </w:r>
      <w:r>
        <w:tab/>
      </w:r>
      <w:r>
        <w:fldChar w:fldCharType="begin"/>
      </w:r>
      <w:r>
        <w:instrText xml:space="preserve"> PAGEREF _Toc21943 \h </w:instrText>
      </w:r>
      <w:r>
        <w:fldChar w:fldCharType="separate"/>
      </w:r>
      <w:r>
        <w:t>- 12 -</w:t>
      </w:r>
      <w:r>
        <w:fldChar w:fldCharType="end"/>
      </w:r>
      <w:r>
        <w:fldChar w:fldCharType="end"/>
      </w:r>
    </w:p>
    <w:p>
      <w:pPr>
        <w:pStyle w:val="46"/>
        <w:tabs>
          <w:tab w:val="right" w:leader="dot" w:pos="9412"/>
        </w:tabs>
        <w:ind w:left="560"/>
        <w:rPr>
          <w:b/>
          <w:bCs/>
        </w:rPr>
      </w:pPr>
      <w:r>
        <w:fldChar w:fldCharType="begin"/>
      </w:r>
      <w:r>
        <w:instrText xml:space="preserve"> HYPERLINK \l "_Toc28628" </w:instrText>
      </w:r>
      <w:r>
        <w:fldChar w:fldCharType="separate"/>
      </w:r>
      <w:r>
        <w:rPr>
          <w:rFonts w:hint="eastAsia" w:ascii="宋体" w:hAnsi="宋体" w:cs="宋体"/>
          <w:b/>
          <w:bCs/>
          <w:szCs w:val="30"/>
        </w:rPr>
        <w:t>第五篇  供应商须知</w:t>
      </w:r>
      <w:r>
        <w:rPr>
          <w:b/>
          <w:bCs/>
        </w:rPr>
        <w:tab/>
      </w:r>
      <w:r>
        <w:rPr>
          <w:b/>
          <w:bCs/>
        </w:rPr>
        <w:fldChar w:fldCharType="begin"/>
      </w:r>
      <w:r>
        <w:rPr>
          <w:b/>
          <w:bCs/>
        </w:rPr>
        <w:instrText xml:space="preserve"> PAGEREF _Toc28628 \h </w:instrText>
      </w:r>
      <w:r>
        <w:rPr>
          <w:b/>
          <w:bCs/>
        </w:rPr>
        <w:fldChar w:fldCharType="separate"/>
      </w:r>
      <w:r>
        <w:rPr>
          <w:b/>
          <w:bCs/>
        </w:rPr>
        <w:t>- 13 -</w:t>
      </w:r>
      <w:r>
        <w:rPr>
          <w:b/>
          <w:bCs/>
        </w:rPr>
        <w:fldChar w:fldCharType="end"/>
      </w:r>
      <w:r>
        <w:rPr>
          <w:b/>
          <w:bCs/>
        </w:rPr>
        <w:fldChar w:fldCharType="end"/>
      </w:r>
    </w:p>
    <w:p>
      <w:pPr>
        <w:pStyle w:val="46"/>
        <w:tabs>
          <w:tab w:val="right" w:leader="dot" w:pos="9412"/>
        </w:tabs>
        <w:ind w:left="560" w:firstLine="560" w:firstLineChars="200"/>
      </w:pPr>
      <w:r>
        <w:fldChar w:fldCharType="begin"/>
      </w:r>
      <w:r>
        <w:instrText xml:space="preserve"> HYPERLINK \l "_Toc18274" </w:instrText>
      </w:r>
      <w:r>
        <w:fldChar w:fldCharType="separate"/>
      </w:r>
      <w:r>
        <w:rPr>
          <w:rFonts w:hint="eastAsia" w:ascii="宋体" w:hAnsi="宋体" w:cs="宋体"/>
        </w:rPr>
        <w:t>一、询价费用</w:t>
      </w:r>
      <w:r>
        <w:tab/>
      </w:r>
      <w:r>
        <w:fldChar w:fldCharType="begin"/>
      </w:r>
      <w:r>
        <w:instrText xml:space="preserve"> PAGEREF _Toc18274 \h </w:instrText>
      </w:r>
      <w:r>
        <w:fldChar w:fldCharType="separate"/>
      </w:r>
      <w:r>
        <w:t>- 13 -</w:t>
      </w:r>
      <w:r>
        <w:fldChar w:fldCharType="end"/>
      </w:r>
      <w:r>
        <w:fldChar w:fldCharType="end"/>
      </w:r>
    </w:p>
    <w:p>
      <w:pPr>
        <w:pStyle w:val="46"/>
        <w:tabs>
          <w:tab w:val="right" w:leader="dot" w:pos="9412"/>
        </w:tabs>
        <w:ind w:left="560" w:firstLine="560" w:firstLineChars="200"/>
      </w:pPr>
      <w:r>
        <w:fldChar w:fldCharType="begin"/>
      </w:r>
      <w:r>
        <w:instrText xml:space="preserve"> HYPERLINK \l "_Toc3638" </w:instrText>
      </w:r>
      <w:r>
        <w:fldChar w:fldCharType="separate"/>
      </w:r>
      <w:r>
        <w:rPr>
          <w:rFonts w:hint="eastAsia" w:ascii="宋体" w:hAnsi="宋体" w:cs="宋体"/>
        </w:rPr>
        <w:t>二、询价通知书</w:t>
      </w:r>
      <w:r>
        <w:tab/>
      </w:r>
      <w:r>
        <w:fldChar w:fldCharType="begin"/>
      </w:r>
      <w:r>
        <w:instrText xml:space="preserve"> PAGEREF _Toc3638 \h </w:instrText>
      </w:r>
      <w:r>
        <w:fldChar w:fldCharType="separate"/>
      </w:r>
      <w:r>
        <w:t>- 13 -</w:t>
      </w:r>
      <w:r>
        <w:fldChar w:fldCharType="end"/>
      </w:r>
      <w:r>
        <w:fldChar w:fldCharType="end"/>
      </w:r>
    </w:p>
    <w:p>
      <w:pPr>
        <w:pStyle w:val="46"/>
        <w:tabs>
          <w:tab w:val="right" w:leader="dot" w:pos="9412"/>
        </w:tabs>
        <w:ind w:left="560" w:firstLine="560" w:firstLineChars="200"/>
      </w:pPr>
      <w:r>
        <w:fldChar w:fldCharType="begin"/>
      </w:r>
      <w:r>
        <w:instrText xml:space="preserve"> HYPERLINK \l "_Toc21426" </w:instrText>
      </w:r>
      <w:r>
        <w:fldChar w:fldCharType="separate"/>
      </w:r>
      <w:r>
        <w:rPr>
          <w:rFonts w:hint="eastAsia" w:ascii="宋体" w:hAnsi="宋体" w:cs="宋体"/>
        </w:rPr>
        <w:t>三、报价要求</w:t>
      </w:r>
      <w:r>
        <w:tab/>
      </w:r>
      <w:r>
        <w:fldChar w:fldCharType="begin"/>
      </w:r>
      <w:r>
        <w:instrText xml:space="preserve"> PAGEREF _Toc21426 \h </w:instrText>
      </w:r>
      <w:r>
        <w:fldChar w:fldCharType="separate"/>
      </w:r>
      <w:r>
        <w:t>- 13 -</w:t>
      </w:r>
      <w:r>
        <w:fldChar w:fldCharType="end"/>
      </w:r>
      <w:r>
        <w:fldChar w:fldCharType="end"/>
      </w:r>
    </w:p>
    <w:p>
      <w:pPr>
        <w:pStyle w:val="46"/>
        <w:tabs>
          <w:tab w:val="right" w:leader="dot" w:pos="9412"/>
        </w:tabs>
        <w:ind w:left="560" w:firstLine="560" w:firstLineChars="200"/>
      </w:pPr>
      <w:r>
        <w:fldChar w:fldCharType="begin"/>
      </w:r>
      <w:r>
        <w:instrText xml:space="preserve"> HYPERLINK \l "_Toc28169" </w:instrText>
      </w:r>
      <w:r>
        <w:fldChar w:fldCharType="separate"/>
      </w:r>
      <w:r>
        <w:rPr>
          <w:rFonts w:hint="eastAsia" w:ascii="宋体" w:hAnsi="宋体" w:cs="宋体"/>
        </w:rPr>
        <w:t>四、成交供应商的确定和变更</w:t>
      </w:r>
      <w:r>
        <w:tab/>
      </w:r>
      <w:r>
        <w:fldChar w:fldCharType="begin"/>
      </w:r>
      <w:r>
        <w:instrText xml:space="preserve"> PAGEREF _Toc28169 \h </w:instrText>
      </w:r>
      <w:r>
        <w:fldChar w:fldCharType="separate"/>
      </w:r>
      <w:r>
        <w:t>- 14 -</w:t>
      </w:r>
      <w:r>
        <w:fldChar w:fldCharType="end"/>
      </w:r>
      <w:r>
        <w:fldChar w:fldCharType="end"/>
      </w:r>
    </w:p>
    <w:p>
      <w:pPr>
        <w:pStyle w:val="46"/>
        <w:tabs>
          <w:tab w:val="right" w:leader="dot" w:pos="9412"/>
        </w:tabs>
        <w:ind w:left="560" w:firstLine="560" w:firstLineChars="200"/>
      </w:pPr>
      <w:r>
        <w:fldChar w:fldCharType="begin"/>
      </w:r>
      <w:r>
        <w:instrText xml:space="preserve"> HYPERLINK \l "_Toc29837" </w:instrText>
      </w:r>
      <w:r>
        <w:fldChar w:fldCharType="separate"/>
      </w:r>
      <w:r>
        <w:rPr>
          <w:rFonts w:hint="eastAsia" w:ascii="宋体" w:hAnsi="宋体" w:cs="宋体"/>
        </w:rPr>
        <w:t>五、成交通知</w:t>
      </w:r>
      <w:r>
        <w:tab/>
      </w:r>
      <w:r>
        <w:fldChar w:fldCharType="begin"/>
      </w:r>
      <w:r>
        <w:instrText xml:space="preserve"> PAGEREF _Toc29837 \h </w:instrText>
      </w:r>
      <w:r>
        <w:fldChar w:fldCharType="separate"/>
      </w:r>
      <w:r>
        <w:t>- 14 -</w:t>
      </w:r>
      <w:r>
        <w:fldChar w:fldCharType="end"/>
      </w:r>
      <w:r>
        <w:fldChar w:fldCharType="end"/>
      </w:r>
    </w:p>
    <w:p>
      <w:pPr>
        <w:pStyle w:val="46"/>
        <w:tabs>
          <w:tab w:val="right" w:leader="dot" w:pos="9412"/>
        </w:tabs>
        <w:ind w:left="560" w:firstLine="560" w:firstLineChars="200"/>
      </w:pPr>
      <w:r>
        <w:fldChar w:fldCharType="begin"/>
      </w:r>
      <w:r>
        <w:instrText xml:space="preserve"> HYPERLINK \l "_Toc24213" </w:instrText>
      </w:r>
      <w:r>
        <w:fldChar w:fldCharType="separate"/>
      </w:r>
      <w:r>
        <w:rPr>
          <w:rFonts w:hint="eastAsia" w:ascii="宋体" w:hAnsi="宋体" w:cs="宋体"/>
        </w:rPr>
        <w:t>六、关于质疑和投诉</w:t>
      </w:r>
      <w:r>
        <w:tab/>
      </w:r>
      <w:r>
        <w:fldChar w:fldCharType="begin"/>
      </w:r>
      <w:r>
        <w:instrText xml:space="preserve"> PAGEREF _Toc24213 \h </w:instrText>
      </w:r>
      <w:r>
        <w:fldChar w:fldCharType="separate"/>
      </w:r>
      <w:r>
        <w:t>- 14 -</w:t>
      </w:r>
      <w:r>
        <w:fldChar w:fldCharType="end"/>
      </w:r>
      <w:r>
        <w:fldChar w:fldCharType="end"/>
      </w:r>
    </w:p>
    <w:p>
      <w:pPr>
        <w:pStyle w:val="46"/>
        <w:tabs>
          <w:tab w:val="right" w:leader="dot" w:pos="9412"/>
        </w:tabs>
        <w:ind w:left="560" w:firstLine="560" w:firstLineChars="200"/>
      </w:pPr>
      <w:r>
        <w:fldChar w:fldCharType="begin"/>
      </w:r>
      <w:r>
        <w:instrText xml:space="preserve"> HYPERLINK \l "_Toc27958" </w:instrText>
      </w:r>
      <w:r>
        <w:fldChar w:fldCharType="separate"/>
      </w:r>
      <w:r>
        <w:rPr>
          <w:rFonts w:hint="eastAsia" w:ascii="宋体" w:hAnsi="宋体" w:cs="宋体"/>
        </w:rPr>
        <w:t>七、签订合同</w:t>
      </w:r>
      <w:r>
        <w:tab/>
      </w:r>
      <w:r>
        <w:fldChar w:fldCharType="begin"/>
      </w:r>
      <w:r>
        <w:instrText xml:space="preserve"> PAGEREF _Toc27958 \h </w:instrText>
      </w:r>
      <w:r>
        <w:fldChar w:fldCharType="separate"/>
      </w:r>
      <w:r>
        <w:t>- 16 -</w:t>
      </w:r>
      <w:r>
        <w:fldChar w:fldCharType="end"/>
      </w:r>
      <w:r>
        <w:fldChar w:fldCharType="end"/>
      </w:r>
    </w:p>
    <w:p>
      <w:pPr>
        <w:pStyle w:val="46"/>
        <w:tabs>
          <w:tab w:val="right" w:leader="dot" w:pos="9412"/>
        </w:tabs>
        <w:ind w:left="560" w:firstLine="560" w:firstLineChars="200"/>
      </w:pPr>
      <w:r>
        <w:fldChar w:fldCharType="begin"/>
      </w:r>
      <w:r>
        <w:instrText xml:space="preserve"> HYPERLINK \l "_Toc19161" </w:instrText>
      </w:r>
      <w:r>
        <w:fldChar w:fldCharType="separate"/>
      </w:r>
      <w:r>
        <w:rPr>
          <w:rFonts w:hint="eastAsia" w:ascii="宋体" w:hAnsi="宋体" w:cs="宋体"/>
        </w:rPr>
        <w:t>八、项目验收</w:t>
      </w:r>
      <w:r>
        <w:tab/>
      </w:r>
      <w:r>
        <w:fldChar w:fldCharType="begin"/>
      </w:r>
      <w:r>
        <w:instrText xml:space="preserve"> PAGEREF _Toc19161 \h </w:instrText>
      </w:r>
      <w:r>
        <w:fldChar w:fldCharType="separate"/>
      </w:r>
      <w:r>
        <w:t>- 16 -</w:t>
      </w:r>
      <w:r>
        <w:fldChar w:fldCharType="end"/>
      </w:r>
      <w:r>
        <w:fldChar w:fldCharType="end"/>
      </w:r>
    </w:p>
    <w:p>
      <w:pPr>
        <w:pStyle w:val="46"/>
        <w:tabs>
          <w:tab w:val="right" w:leader="dot" w:pos="9412"/>
        </w:tabs>
        <w:ind w:left="560" w:firstLine="560" w:firstLineChars="200"/>
      </w:pPr>
      <w:r>
        <w:fldChar w:fldCharType="begin"/>
      </w:r>
      <w:r>
        <w:instrText xml:space="preserve"> HYPERLINK \l "_Toc1609" </w:instrText>
      </w:r>
      <w:r>
        <w:fldChar w:fldCharType="separate"/>
      </w:r>
      <w:r>
        <w:rPr>
          <w:rFonts w:hint="eastAsia" w:ascii="宋体" w:hAnsi="宋体" w:cs="宋体"/>
        </w:rPr>
        <w:t>九、采购代理服务费</w:t>
      </w:r>
      <w:r>
        <w:tab/>
      </w:r>
      <w:r>
        <w:fldChar w:fldCharType="begin"/>
      </w:r>
      <w:r>
        <w:instrText xml:space="preserve"> PAGEREF _Toc1609 \h </w:instrText>
      </w:r>
      <w:r>
        <w:fldChar w:fldCharType="separate"/>
      </w:r>
      <w:r>
        <w:t>- 16 -</w:t>
      </w:r>
      <w:r>
        <w:fldChar w:fldCharType="end"/>
      </w:r>
      <w:r>
        <w:fldChar w:fldCharType="end"/>
      </w:r>
    </w:p>
    <w:p>
      <w:pPr>
        <w:pStyle w:val="46"/>
        <w:tabs>
          <w:tab w:val="right" w:leader="dot" w:pos="9412"/>
        </w:tabs>
        <w:ind w:left="560" w:firstLine="560" w:firstLineChars="200"/>
      </w:pPr>
      <w:r>
        <w:fldChar w:fldCharType="begin"/>
      </w:r>
      <w:r>
        <w:instrText xml:space="preserve"> HYPERLINK \l "_Toc17438" </w:instrText>
      </w:r>
      <w:r>
        <w:fldChar w:fldCharType="separate"/>
      </w:r>
      <w:r>
        <w:rPr>
          <w:rFonts w:hint="eastAsia" w:ascii="宋体" w:hAnsi="宋体" w:cs="宋体"/>
        </w:rPr>
        <w:t>十、政府采购信用融资</w:t>
      </w:r>
      <w:r>
        <w:tab/>
      </w:r>
      <w:r>
        <w:fldChar w:fldCharType="begin"/>
      </w:r>
      <w:r>
        <w:instrText xml:space="preserve"> PAGEREF _Toc17438 \h </w:instrText>
      </w:r>
      <w:r>
        <w:fldChar w:fldCharType="separate"/>
      </w:r>
      <w:r>
        <w:t>- 16 -</w:t>
      </w:r>
      <w:r>
        <w:fldChar w:fldCharType="end"/>
      </w:r>
      <w:r>
        <w:fldChar w:fldCharType="end"/>
      </w:r>
    </w:p>
    <w:p>
      <w:pPr>
        <w:pStyle w:val="46"/>
        <w:tabs>
          <w:tab w:val="right" w:leader="dot" w:pos="9412"/>
        </w:tabs>
        <w:ind w:left="560"/>
        <w:rPr>
          <w:b/>
          <w:bCs/>
        </w:rPr>
      </w:pPr>
      <w:r>
        <w:fldChar w:fldCharType="begin"/>
      </w:r>
      <w:r>
        <w:instrText xml:space="preserve"> HYPERLINK \l "_Toc12966" </w:instrText>
      </w:r>
      <w:r>
        <w:fldChar w:fldCharType="separate"/>
      </w:r>
      <w:r>
        <w:rPr>
          <w:rFonts w:hint="eastAsia" w:ascii="宋体" w:hAnsi="宋体" w:cs="宋体"/>
          <w:b/>
          <w:bCs/>
          <w:szCs w:val="30"/>
        </w:rPr>
        <w:t>第六篇  合同草案条款</w:t>
      </w:r>
      <w:r>
        <w:rPr>
          <w:b/>
          <w:bCs/>
        </w:rPr>
        <w:tab/>
      </w:r>
      <w:r>
        <w:rPr>
          <w:b/>
          <w:bCs/>
        </w:rPr>
        <w:fldChar w:fldCharType="begin"/>
      </w:r>
      <w:r>
        <w:rPr>
          <w:b/>
          <w:bCs/>
        </w:rPr>
        <w:instrText xml:space="preserve"> PAGEREF _Toc12966 \h </w:instrText>
      </w:r>
      <w:r>
        <w:rPr>
          <w:b/>
          <w:bCs/>
        </w:rPr>
        <w:fldChar w:fldCharType="separate"/>
      </w:r>
      <w:r>
        <w:rPr>
          <w:b/>
          <w:bCs/>
        </w:rPr>
        <w:t>- 18 -</w:t>
      </w:r>
      <w:r>
        <w:rPr>
          <w:b/>
          <w:bCs/>
        </w:rPr>
        <w:fldChar w:fldCharType="end"/>
      </w:r>
      <w:r>
        <w:rPr>
          <w:b/>
          <w:bCs/>
        </w:rPr>
        <w:fldChar w:fldCharType="end"/>
      </w:r>
    </w:p>
    <w:p>
      <w:pPr>
        <w:pStyle w:val="46"/>
        <w:tabs>
          <w:tab w:val="right" w:leader="dot" w:pos="9412"/>
        </w:tabs>
        <w:ind w:left="560"/>
      </w:pPr>
      <w:r>
        <w:fldChar w:fldCharType="begin"/>
      </w:r>
      <w:r>
        <w:instrText xml:space="preserve"> HYPERLINK \l "_Toc22155" </w:instrText>
      </w:r>
      <w:r>
        <w:fldChar w:fldCharType="separate"/>
      </w:r>
      <w:r>
        <w:rPr>
          <w:rFonts w:hint="eastAsia" w:ascii="宋体" w:hAnsi="宋体" w:cs="宋体"/>
          <w:b/>
          <w:bCs/>
          <w:szCs w:val="30"/>
        </w:rPr>
        <w:t>第七篇  响应文件格式要求</w:t>
      </w:r>
      <w:r>
        <w:rPr>
          <w:b/>
          <w:bCs/>
        </w:rPr>
        <w:tab/>
      </w:r>
      <w:r>
        <w:rPr>
          <w:b/>
          <w:bCs/>
        </w:rPr>
        <w:fldChar w:fldCharType="begin"/>
      </w:r>
      <w:r>
        <w:rPr>
          <w:b/>
          <w:bCs/>
        </w:rPr>
        <w:instrText xml:space="preserve"> PAGEREF _Toc22155 \h </w:instrText>
      </w:r>
      <w:r>
        <w:rPr>
          <w:b/>
          <w:bCs/>
        </w:rPr>
        <w:fldChar w:fldCharType="separate"/>
      </w:r>
      <w:r>
        <w:rPr>
          <w:b/>
          <w:bCs/>
        </w:rPr>
        <w:t>- 21 -</w:t>
      </w:r>
      <w:r>
        <w:rPr>
          <w:b/>
          <w:bCs/>
        </w:rPr>
        <w:fldChar w:fldCharType="end"/>
      </w:r>
      <w:r>
        <w:rPr>
          <w:b/>
          <w:bCs/>
        </w:rPr>
        <w:fldChar w:fldCharType="end"/>
      </w:r>
    </w:p>
    <w:p>
      <w:pPr>
        <w:pStyle w:val="46"/>
        <w:tabs>
          <w:tab w:val="right" w:leader="dot" w:pos="9402"/>
        </w:tabs>
        <w:spacing w:line="276" w:lineRule="auto"/>
        <w:ind w:left="560" w:firstLine="2240" w:firstLineChars="800"/>
        <w:rPr>
          <w:rFonts w:ascii="宋体" w:hAnsi="宋体" w:cs="宋体"/>
          <w:b/>
          <w:sz w:val="21"/>
          <w:szCs w:val="21"/>
        </w:rPr>
        <w:sectPr>
          <w:footerReference r:id="rId9" w:type="default"/>
          <w:pgSz w:w="11907" w:h="16840"/>
          <w:pgMar w:top="1134" w:right="1191" w:bottom="1021" w:left="1304" w:header="964" w:footer="992" w:gutter="0"/>
          <w:pgNumType w:fmt="numberInDash" w:start="1"/>
          <w:cols w:space="720" w:num="1"/>
          <w:docGrid w:linePitch="312" w:charSpace="0"/>
        </w:sectPr>
      </w:pPr>
      <w:r>
        <w:rPr>
          <w:rFonts w:hint="eastAsia" w:ascii="宋体" w:hAnsi="宋体" w:cs="宋体"/>
          <w:szCs w:val="21"/>
        </w:rPr>
        <w:fldChar w:fldCharType="end"/>
      </w:r>
    </w:p>
    <w:p>
      <w:pPr>
        <w:pStyle w:val="5"/>
        <w:spacing w:before="0" w:after="0" w:line="360" w:lineRule="auto"/>
        <w:jc w:val="center"/>
        <w:rPr>
          <w:rFonts w:ascii="宋体" w:hAnsi="宋体" w:eastAsia="宋体" w:cs="宋体"/>
          <w:sz w:val="36"/>
          <w:szCs w:val="36"/>
        </w:rPr>
      </w:pPr>
      <w:bookmarkStart w:id="12" w:name="_Toc15209"/>
      <w:bookmarkStart w:id="13" w:name="_Toc7556"/>
      <w:bookmarkStart w:id="14" w:name="_Toc30149"/>
      <w:r>
        <w:rPr>
          <w:rFonts w:hint="eastAsia" w:ascii="宋体" w:hAnsi="宋体" w:eastAsia="宋体" w:cs="宋体"/>
          <w:sz w:val="36"/>
          <w:szCs w:val="36"/>
        </w:rPr>
        <w:t>第一篇 询价邀请书</w:t>
      </w:r>
      <w:bookmarkEnd w:id="6"/>
      <w:bookmarkEnd w:id="7"/>
      <w:bookmarkEnd w:id="8"/>
      <w:bookmarkEnd w:id="9"/>
      <w:bookmarkEnd w:id="10"/>
      <w:bookmarkEnd w:id="11"/>
      <w:bookmarkEnd w:id="12"/>
      <w:bookmarkEnd w:id="13"/>
      <w:bookmarkEnd w:id="14"/>
    </w:p>
    <w:p>
      <w:pPr>
        <w:pStyle w:val="194"/>
        <w:spacing w:line="360" w:lineRule="auto"/>
        <w:ind w:firstLine="420" w:firstLineChars="200"/>
        <w:rPr>
          <w:rFonts w:hAnsi="宋体"/>
        </w:rPr>
      </w:pPr>
      <w:bookmarkStart w:id="15" w:name="_Toc317775175"/>
      <w:bookmarkStart w:id="16" w:name="_Toc20343"/>
      <w:bookmarkStart w:id="17" w:name="_Toc9167"/>
      <w:bookmarkStart w:id="18" w:name="_Toc521318163"/>
      <w:bookmarkStart w:id="19" w:name="_Toc487204771"/>
      <w:bookmarkStart w:id="20" w:name="_Toc313893526"/>
      <w:r>
        <w:rPr>
          <w:rFonts w:hint="eastAsia" w:hAnsi="宋体"/>
        </w:rPr>
        <w:t>重庆优凯项目管理有限公司（以下简称“采购代理机构”）接受重庆市柑橘产业协会（以下简称“采购人”）的委托，对三峡柑橘精美宣传画册制作进行询价采购。欢迎有资格的供应商前来参加。</w:t>
      </w:r>
    </w:p>
    <w:p>
      <w:pPr>
        <w:pStyle w:val="6"/>
        <w:spacing w:before="0" w:after="0" w:line="360" w:lineRule="auto"/>
        <w:rPr>
          <w:rFonts w:ascii="宋体" w:hAnsi="宋体" w:cs="宋体"/>
          <w:sz w:val="21"/>
          <w:szCs w:val="21"/>
        </w:rPr>
      </w:pPr>
      <w:bookmarkStart w:id="21" w:name="_Toc21197"/>
      <w:bookmarkStart w:id="22" w:name="_Toc6539"/>
      <w:r>
        <w:rPr>
          <w:rFonts w:hint="eastAsia" w:ascii="宋体" w:hAnsi="宋体" w:cs="宋体"/>
          <w:sz w:val="21"/>
          <w:szCs w:val="21"/>
        </w:rPr>
        <w:t>一、询价内容</w:t>
      </w:r>
      <w:bookmarkEnd w:id="15"/>
      <w:bookmarkEnd w:id="16"/>
      <w:bookmarkEnd w:id="17"/>
      <w:bookmarkEnd w:id="18"/>
      <w:bookmarkEnd w:id="19"/>
      <w:bookmarkEnd w:id="20"/>
      <w:bookmarkEnd w:id="21"/>
      <w:bookmarkEnd w:id="22"/>
    </w:p>
    <w:tbl>
      <w:tblPr>
        <w:tblStyle w:val="5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636"/>
        <w:gridCol w:w="1134"/>
        <w:gridCol w:w="1353"/>
        <w:gridCol w:w="1438"/>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0" w:type="dxa"/>
            <w:vAlign w:val="center"/>
          </w:tcPr>
          <w:p>
            <w:pPr>
              <w:widowControl/>
              <w:spacing w:line="360" w:lineRule="auto"/>
              <w:jc w:val="center"/>
              <w:rPr>
                <w:rFonts w:ascii="宋体" w:hAnsi="宋体" w:cs="宋体"/>
                <w:b/>
                <w:sz w:val="21"/>
                <w:szCs w:val="21"/>
              </w:rPr>
            </w:pPr>
            <w:r>
              <w:rPr>
                <w:rFonts w:hint="eastAsia" w:ascii="宋体" w:hAnsi="宋体" w:cs="宋体"/>
                <w:b/>
                <w:sz w:val="21"/>
                <w:szCs w:val="21"/>
              </w:rPr>
              <w:t>序号</w:t>
            </w:r>
          </w:p>
        </w:tc>
        <w:tc>
          <w:tcPr>
            <w:tcW w:w="3636"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名称</w:t>
            </w:r>
          </w:p>
        </w:tc>
        <w:tc>
          <w:tcPr>
            <w:tcW w:w="1134"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采购数量</w:t>
            </w:r>
          </w:p>
        </w:tc>
        <w:tc>
          <w:tcPr>
            <w:tcW w:w="1353" w:type="dxa"/>
            <w:vAlign w:val="center"/>
          </w:tcPr>
          <w:p>
            <w:pPr>
              <w:widowControl/>
              <w:spacing w:line="360" w:lineRule="auto"/>
              <w:rPr>
                <w:rFonts w:ascii="宋体" w:hAnsi="宋体" w:cs="宋体"/>
                <w:b/>
                <w:kern w:val="0"/>
                <w:sz w:val="21"/>
                <w:szCs w:val="21"/>
              </w:rPr>
            </w:pPr>
            <w:r>
              <w:rPr>
                <w:rFonts w:hint="eastAsia" w:ascii="宋体" w:hAnsi="宋体" w:cs="宋体"/>
                <w:b/>
                <w:kern w:val="0"/>
                <w:sz w:val="21"/>
                <w:szCs w:val="21"/>
              </w:rPr>
              <w:t>采购总预算（万元）</w:t>
            </w:r>
          </w:p>
        </w:tc>
        <w:tc>
          <w:tcPr>
            <w:tcW w:w="1438" w:type="dxa"/>
            <w:vAlign w:val="center"/>
          </w:tcPr>
          <w:p>
            <w:pPr>
              <w:widowControl/>
              <w:spacing w:line="360" w:lineRule="auto"/>
              <w:rPr>
                <w:rFonts w:ascii="宋体" w:hAnsi="宋体" w:cs="宋体"/>
                <w:b/>
                <w:kern w:val="0"/>
                <w:sz w:val="21"/>
                <w:szCs w:val="21"/>
              </w:rPr>
            </w:pPr>
            <w:r>
              <w:rPr>
                <w:rFonts w:hint="eastAsia" w:ascii="宋体" w:hAnsi="宋体" w:cs="宋体"/>
                <w:b/>
                <w:kern w:val="0"/>
                <w:sz w:val="21"/>
                <w:szCs w:val="21"/>
              </w:rPr>
              <w:t>询价保证金（万元）</w:t>
            </w:r>
          </w:p>
        </w:tc>
        <w:tc>
          <w:tcPr>
            <w:tcW w:w="1379" w:type="dxa"/>
            <w:vAlign w:val="center"/>
          </w:tcPr>
          <w:p>
            <w:pPr>
              <w:widowControl/>
              <w:spacing w:line="360" w:lineRule="auto"/>
              <w:jc w:val="center"/>
              <w:rPr>
                <w:rFonts w:ascii="宋体" w:hAnsi="宋体" w:cs="宋体"/>
                <w:b/>
                <w:kern w:val="0"/>
                <w:sz w:val="21"/>
                <w:szCs w:val="21"/>
              </w:rPr>
            </w:pPr>
            <w:r>
              <w:rPr>
                <w:rFonts w:hint="eastAsia" w:ascii="宋体" w:hAnsi="宋体" w:cs="宋体"/>
                <w:b/>
                <w:kern w:val="0"/>
                <w:sz w:val="21"/>
                <w:szCs w:val="21"/>
              </w:rPr>
              <w:t>成交供应商数量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600" w:type="dxa"/>
            <w:vAlign w:val="center"/>
          </w:tcPr>
          <w:p>
            <w:pPr>
              <w:spacing w:line="360" w:lineRule="auto"/>
              <w:jc w:val="center"/>
              <w:rPr>
                <w:rFonts w:ascii="宋体" w:hAnsi="宋体" w:cs="宋体"/>
                <w:sz w:val="21"/>
                <w:szCs w:val="21"/>
              </w:rPr>
            </w:pPr>
            <w:bookmarkStart w:id="23" w:name="_Hlk344477914"/>
            <w:r>
              <w:rPr>
                <w:rFonts w:hint="eastAsia" w:ascii="宋体" w:hAnsi="宋体" w:cs="宋体"/>
                <w:sz w:val="21"/>
                <w:szCs w:val="21"/>
              </w:rPr>
              <w:t>1</w:t>
            </w:r>
          </w:p>
        </w:tc>
        <w:tc>
          <w:tcPr>
            <w:tcW w:w="3636" w:type="dxa"/>
            <w:vAlign w:val="center"/>
          </w:tcPr>
          <w:p>
            <w:pPr>
              <w:widowControl/>
              <w:spacing w:line="360" w:lineRule="auto"/>
              <w:jc w:val="left"/>
              <w:textAlignment w:val="center"/>
              <w:rPr>
                <w:rFonts w:ascii="宋体" w:hAnsi="宋体" w:cs="宋体"/>
                <w:sz w:val="21"/>
                <w:szCs w:val="21"/>
              </w:rPr>
            </w:pPr>
            <w:r>
              <w:rPr>
                <w:rFonts w:hint="eastAsia" w:ascii="宋体" w:hAnsi="宋体" w:cs="宋体"/>
                <w:sz w:val="21"/>
                <w:szCs w:val="21"/>
              </w:rPr>
              <w:t>三峡柑橘精美宣传画册制作</w:t>
            </w:r>
          </w:p>
        </w:tc>
        <w:tc>
          <w:tcPr>
            <w:tcW w:w="1134" w:type="dxa"/>
            <w:vAlign w:val="center"/>
          </w:tcPr>
          <w:p>
            <w:pPr>
              <w:widowControl/>
              <w:spacing w:line="360" w:lineRule="auto"/>
              <w:jc w:val="center"/>
              <w:textAlignment w:val="center"/>
              <w:rPr>
                <w:rFonts w:ascii="宋体" w:hAnsi="宋体" w:cs="宋体"/>
                <w:bCs/>
                <w:kern w:val="0"/>
                <w:sz w:val="21"/>
                <w:szCs w:val="21"/>
              </w:rPr>
            </w:pPr>
            <w:r>
              <w:rPr>
                <w:rFonts w:hint="eastAsia" w:ascii="宋体" w:hAnsi="宋体" w:cs="宋体"/>
                <w:bCs/>
                <w:kern w:val="0"/>
                <w:sz w:val="21"/>
                <w:szCs w:val="21"/>
              </w:rPr>
              <w:t>一批</w:t>
            </w:r>
          </w:p>
        </w:tc>
        <w:tc>
          <w:tcPr>
            <w:tcW w:w="1353" w:type="dxa"/>
            <w:vAlign w:val="center"/>
          </w:tcPr>
          <w:p>
            <w:pPr>
              <w:widowControl/>
              <w:spacing w:line="360" w:lineRule="auto"/>
              <w:jc w:val="center"/>
              <w:textAlignment w:val="center"/>
              <w:rPr>
                <w:rFonts w:ascii="宋体" w:hAnsi="宋体" w:cs="宋体"/>
                <w:bCs/>
                <w:kern w:val="0"/>
                <w:sz w:val="21"/>
                <w:szCs w:val="21"/>
              </w:rPr>
            </w:pPr>
            <w:r>
              <w:rPr>
                <w:rFonts w:hint="eastAsia" w:ascii="宋体" w:hAnsi="宋体" w:cs="宋体"/>
                <w:bCs/>
                <w:kern w:val="0"/>
                <w:sz w:val="21"/>
                <w:szCs w:val="21"/>
              </w:rPr>
              <w:t>9</w:t>
            </w:r>
          </w:p>
        </w:tc>
        <w:tc>
          <w:tcPr>
            <w:tcW w:w="1438" w:type="dxa"/>
            <w:vAlign w:val="center"/>
          </w:tcPr>
          <w:p>
            <w:pPr>
              <w:widowControl/>
              <w:spacing w:line="360" w:lineRule="auto"/>
              <w:jc w:val="center"/>
              <w:rPr>
                <w:rFonts w:ascii="宋体" w:hAnsi="宋体" w:cs="宋体"/>
                <w:bCs/>
                <w:kern w:val="0"/>
                <w:sz w:val="21"/>
                <w:szCs w:val="21"/>
              </w:rPr>
            </w:pPr>
            <w:r>
              <w:rPr>
                <w:rFonts w:hint="eastAsia" w:ascii="宋体" w:hAnsi="宋体" w:cs="宋体"/>
                <w:bCs/>
                <w:kern w:val="0"/>
                <w:sz w:val="21"/>
                <w:szCs w:val="21"/>
              </w:rPr>
              <w:t>无</w:t>
            </w:r>
          </w:p>
        </w:tc>
        <w:tc>
          <w:tcPr>
            <w:tcW w:w="1379" w:type="dxa"/>
          </w:tcPr>
          <w:p>
            <w:pPr>
              <w:widowControl/>
              <w:spacing w:line="360" w:lineRule="auto"/>
              <w:jc w:val="center"/>
              <w:textAlignment w:val="center"/>
              <w:rPr>
                <w:rFonts w:ascii="宋体" w:hAnsi="宋体" w:cs="宋体"/>
                <w:bCs/>
                <w:kern w:val="0"/>
                <w:sz w:val="21"/>
                <w:szCs w:val="21"/>
              </w:rPr>
            </w:pPr>
          </w:p>
          <w:p>
            <w:pPr>
              <w:widowControl/>
              <w:spacing w:line="360" w:lineRule="auto"/>
              <w:jc w:val="center"/>
              <w:textAlignment w:val="center"/>
              <w:rPr>
                <w:rFonts w:ascii="宋体" w:hAnsi="宋体" w:cs="宋体"/>
                <w:bCs/>
                <w:kern w:val="0"/>
                <w:sz w:val="21"/>
                <w:szCs w:val="21"/>
              </w:rPr>
            </w:pPr>
            <w:r>
              <w:rPr>
                <w:rFonts w:hint="eastAsia" w:ascii="宋体" w:hAnsi="宋体" w:cs="宋体"/>
                <w:bCs/>
                <w:kern w:val="0"/>
                <w:sz w:val="21"/>
                <w:szCs w:val="21"/>
              </w:rPr>
              <w:t>1</w:t>
            </w:r>
          </w:p>
        </w:tc>
      </w:tr>
      <w:bookmarkEnd w:id="23"/>
    </w:tbl>
    <w:p>
      <w:pPr>
        <w:pStyle w:val="6"/>
        <w:spacing w:before="0" w:after="0" w:line="360" w:lineRule="auto"/>
        <w:rPr>
          <w:rFonts w:ascii="宋体" w:hAnsi="宋体" w:cs="宋体"/>
          <w:sz w:val="21"/>
          <w:szCs w:val="21"/>
        </w:rPr>
      </w:pPr>
      <w:bookmarkStart w:id="24" w:name="_Toc10097"/>
      <w:bookmarkStart w:id="25" w:name="_Toc27523"/>
      <w:bookmarkStart w:id="26" w:name="_Toc487204772"/>
      <w:bookmarkStart w:id="27" w:name="_Toc11592"/>
      <w:bookmarkStart w:id="28" w:name="_Toc521318164"/>
      <w:bookmarkStart w:id="29" w:name="_Toc4372"/>
      <w:bookmarkStart w:id="30" w:name="_Toc373860293"/>
      <w:bookmarkStart w:id="31" w:name="_Toc317775178"/>
      <w:r>
        <w:rPr>
          <w:rFonts w:hint="eastAsia" w:ascii="宋体" w:hAnsi="宋体" w:cs="宋体"/>
          <w:sz w:val="21"/>
          <w:szCs w:val="21"/>
        </w:rPr>
        <w:t>二、资金来源</w:t>
      </w:r>
      <w:bookmarkEnd w:id="24"/>
      <w:bookmarkEnd w:id="25"/>
      <w:bookmarkEnd w:id="26"/>
      <w:bookmarkEnd w:id="27"/>
      <w:bookmarkEnd w:id="28"/>
      <w:bookmarkEnd w:id="29"/>
    </w:p>
    <w:p>
      <w:pPr>
        <w:spacing w:line="360" w:lineRule="auto"/>
        <w:ind w:firstLine="420" w:firstLineChars="200"/>
        <w:rPr>
          <w:rFonts w:ascii="宋体" w:hAnsi="宋体" w:cs="宋体"/>
          <w:sz w:val="21"/>
          <w:szCs w:val="21"/>
        </w:rPr>
      </w:pPr>
      <w:r>
        <w:rPr>
          <w:rFonts w:hint="eastAsia" w:ascii="宋体" w:hAnsi="宋体" w:cs="宋体"/>
          <w:sz w:val="21"/>
          <w:szCs w:val="21"/>
        </w:rPr>
        <w:t>财政预算资金。</w:t>
      </w:r>
    </w:p>
    <w:p>
      <w:pPr>
        <w:pStyle w:val="6"/>
        <w:spacing w:before="0" w:after="0" w:line="360" w:lineRule="auto"/>
        <w:rPr>
          <w:rFonts w:ascii="宋体" w:hAnsi="宋体" w:cs="宋体"/>
          <w:sz w:val="21"/>
          <w:szCs w:val="21"/>
        </w:rPr>
      </w:pPr>
      <w:bookmarkStart w:id="32" w:name="_Toc28123"/>
      <w:bookmarkStart w:id="33" w:name="_Toc521318165"/>
      <w:bookmarkStart w:id="34" w:name="_Toc29888"/>
      <w:bookmarkStart w:id="35" w:name="_Toc487204773"/>
      <w:bookmarkStart w:id="36" w:name="_Toc342913390"/>
      <w:bookmarkStart w:id="37" w:name="_Toc7920"/>
      <w:bookmarkStart w:id="38" w:name="_Toc20415"/>
      <w:r>
        <w:rPr>
          <w:rFonts w:hint="eastAsia" w:ascii="宋体" w:hAnsi="宋体" w:cs="宋体"/>
          <w:sz w:val="21"/>
          <w:szCs w:val="21"/>
        </w:rPr>
        <w:t>三、资格要求</w:t>
      </w:r>
      <w:bookmarkEnd w:id="32"/>
      <w:bookmarkEnd w:id="33"/>
      <w:bookmarkEnd w:id="34"/>
      <w:bookmarkEnd w:id="35"/>
      <w:bookmarkEnd w:id="36"/>
      <w:bookmarkEnd w:id="37"/>
      <w:bookmarkEnd w:id="38"/>
    </w:p>
    <w:p>
      <w:pPr>
        <w:pStyle w:val="194"/>
        <w:spacing w:line="360" w:lineRule="auto"/>
        <w:ind w:firstLine="420" w:firstLineChars="200"/>
        <w:rPr>
          <w:rFonts w:hAnsi="宋体"/>
        </w:rPr>
      </w:pPr>
      <w:r>
        <w:rPr>
          <w:rFonts w:hint="eastAsia" w:hAnsi="宋体"/>
        </w:rPr>
        <w:t>询价供应商是指向采购人提供货物、工程或者服务的法人、其他组织或者自然人。以下简称供应商。</w:t>
      </w:r>
    </w:p>
    <w:p>
      <w:pPr>
        <w:pStyle w:val="194"/>
        <w:spacing w:line="360" w:lineRule="auto"/>
        <w:ind w:firstLine="420" w:firstLineChars="200"/>
        <w:rPr>
          <w:rFonts w:hAnsi="宋体"/>
        </w:rPr>
      </w:pPr>
      <w:r>
        <w:rPr>
          <w:rFonts w:hint="eastAsia" w:hAnsi="宋体"/>
        </w:rPr>
        <w:t>合格的供应商应符合下列条件：</w:t>
      </w:r>
    </w:p>
    <w:p>
      <w:pPr>
        <w:pStyle w:val="194"/>
        <w:spacing w:line="360" w:lineRule="auto"/>
        <w:ind w:firstLine="420" w:firstLineChars="200"/>
        <w:rPr>
          <w:rFonts w:hAnsi="宋体"/>
        </w:rPr>
      </w:pPr>
      <w:r>
        <w:rPr>
          <w:rFonts w:hint="eastAsia" w:hAnsi="宋体"/>
        </w:rPr>
        <w:t>（一）满足《中华人民共和国政府采购法》第二十二条规定；</w:t>
      </w:r>
    </w:p>
    <w:p>
      <w:pPr>
        <w:pStyle w:val="194"/>
        <w:spacing w:line="360" w:lineRule="auto"/>
        <w:ind w:firstLine="420" w:firstLineChars="200"/>
        <w:rPr>
          <w:rFonts w:hAnsi="宋体"/>
        </w:rPr>
      </w:pPr>
      <w:r>
        <w:rPr>
          <w:rFonts w:hint="eastAsia" w:hAnsi="宋体"/>
        </w:rPr>
        <w:t>（二）落实政府采购政策需满足的资格要求：/</w:t>
      </w:r>
    </w:p>
    <w:p>
      <w:pPr>
        <w:pStyle w:val="194"/>
        <w:spacing w:line="360" w:lineRule="auto"/>
        <w:ind w:firstLine="420" w:firstLineChars="200"/>
        <w:rPr>
          <w:rFonts w:hAnsi="宋体"/>
        </w:rPr>
      </w:pPr>
      <w:r>
        <w:rPr>
          <w:rFonts w:hint="eastAsia" w:hAnsi="宋体"/>
        </w:rPr>
        <w:t>（三）本项目的特定资格要求：无。</w:t>
      </w:r>
    </w:p>
    <w:p>
      <w:pPr>
        <w:pStyle w:val="6"/>
        <w:spacing w:before="0" w:after="0" w:line="360" w:lineRule="auto"/>
        <w:rPr>
          <w:rFonts w:ascii="宋体" w:hAnsi="宋体" w:cs="宋体"/>
          <w:sz w:val="21"/>
          <w:szCs w:val="21"/>
        </w:rPr>
      </w:pPr>
      <w:bookmarkStart w:id="39" w:name="_Toc32111"/>
      <w:bookmarkStart w:id="40" w:name="_Toc28929"/>
      <w:bookmarkStart w:id="41" w:name="_Toc27115"/>
      <w:bookmarkStart w:id="42" w:name="_Toc15388"/>
      <w:bookmarkStart w:id="43" w:name="_Toc521318166"/>
      <w:bookmarkStart w:id="44" w:name="_Toc487204774"/>
      <w:r>
        <w:rPr>
          <w:rFonts w:hint="eastAsia" w:ascii="宋体" w:hAnsi="宋体" w:cs="宋体"/>
          <w:sz w:val="21"/>
          <w:szCs w:val="21"/>
        </w:rPr>
        <w:t>四、询价有关说明</w:t>
      </w:r>
      <w:bookmarkEnd w:id="30"/>
      <w:bookmarkEnd w:id="39"/>
      <w:bookmarkEnd w:id="40"/>
      <w:bookmarkEnd w:id="41"/>
      <w:bookmarkEnd w:id="42"/>
      <w:bookmarkEnd w:id="43"/>
      <w:bookmarkEnd w:id="44"/>
      <w:bookmarkStart w:id="45" w:name="_Toc373860294"/>
    </w:p>
    <w:p>
      <w:pPr>
        <w:pStyle w:val="31"/>
        <w:wordWrap w:val="0"/>
        <w:spacing w:line="360" w:lineRule="auto"/>
        <w:ind w:firstLine="420" w:firstLineChars="200"/>
        <w:rPr>
          <w:rFonts w:hAnsi="宋体" w:cs="宋体"/>
          <w:kern w:val="2"/>
          <w:szCs w:val="21"/>
        </w:rPr>
      </w:pPr>
      <w:r>
        <w:rPr>
          <w:rFonts w:hint="eastAsia" w:hAnsi="宋体" w:cs="宋体"/>
          <w:kern w:val="2"/>
          <w:szCs w:val="21"/>
        </w:rPr>
        <w:t>（一）本项目询价</w:t>
      </w:r>
      <w:r>
        <w:rPr>
          <w:rFonts w:hint="eastAsia" w:hAnsi="宋体" w:cs="宋体"/>
          <w:kern w:val="2"/>
          <w:szCs w:val="21"/>
          <w:highlight w:val="none"/>
        </w:rPr>
        <w:t>公告于2023年3月28日在重庆农业</w:t>
      </w:r>
      <w:r>
        <w:rPr>
          <w:rFonts w:hint="eastAsia" w:hAnsi="宋体" w:cs="宋体"/>
          <w:kern w:val="2"/>
          <w:szCs w:val="21"/>
        </w:rPr>
        <w:t>技术推广信息网（</w:t>
      </w:r>
      <w:r>
        <w:fldChar w:fldCharType="begin"/>
      </w:r>
      <w:r>
        <w:instrText xml:space="preserve"> HYPERLINK "http://www.cqates.com/Default.aspx" </w:instrText>
      </w:r>
      <w:r>
        <w:fldChar w:fldCharType="separate"/>
      </w:r>
      <w:r>
        <w:rPr>
          <w:rStyle w:val="62"/>
          <w:rFonts w:hint="eastAsia" w:hAnsi="宋体" w:cs="宋体"/>
          <w:color w:val="auto"/>
          <w:szCs w:val="21"/>
        </w:rPr>
        <w:t>http://www.cqates.com/</w:t>
      </w:r>
      <w:r>
        <w:rPr>
          <w:rStyle w:val="62"/>
          <w:rFonts w:hint="eastAsia" w:hAnsi="宋体" w:cs="宋体"/>
          <w:color w:val="auto"/>
          <w:szCs w:val="21"/>
        </w:rPr>
        <w:fldChar w:fldCharType="end"/>
      </w:r>
      <w:r>
        <w:rPr>
          <w:rFonts w:hint="eastAsia" w:hAnsi="宋体" w:cs="宋体"/>
          <w:szCs w:val="21"/>
        </w:rPr>
        <w:t>）</w:t>
      </w:r>
      <w:r>
        <w:rPr>
          <w:rFonts w:hint="eastAsia" w:hAnsi="宋体" w:cs="宋体"/>
          <w:kern w:val="2"/>
          <w:szCs w:val="21"/>
        </w:rPr>
        <w:t>发布。</w:t>
      </w:r>
    </w:p>
    <w:p>
      <w:pPr>
        <w:pStyle w:val="194"/>
        <w:spacing w:line="360" w:lineRule="auto"/>
        <w:ind w:firstLine="420" w:firstLineChars="200"/>
        <w:rPr>
          <w:rFonts w:hAnsi="宋体"/>
        </w:rPr>
      </w:pPr>
      <w:r>
        <w:rPr>
          <w:rFonts w:hint="eastAsia" w:hAnsi="宋体"/>
        </w:rPr>
        <w:t>（二）凡有意参加询价的供应商，请在重庆农业技术推广信息网上下载或到重庆优凯项目管理有限公司领取本项目询价文件以及补遗等公布的所有项目资料，无论供应商下载与否，均视为已知晓所有询价实质性要求内容。</w:t>
      </w:r>
    </w:p>
    <w:p>
      <w:pPr>
        <w:pStyle w:val="194"/>
        <w:spacing w:line="360" w:lineRule="auto"/>
        <w:ind w:firstLine="420" w:firstLineChars="200"/>
        <w:rPr>
          <w:rFonts w:hAnsi="宋体"/>
        </w:rPr>
      </w:pPr>
      <w:r>
        <w:rPr>
          <w:rFonts w:hint="eastAsia" w:hAnsi="宋体"/>
        </w:rPr>
        <w:t>（三）询价公告期限：自采购公告发布之日起三个工作日。</w:t>
      </w:r>
    </w:p>
    <w:p>
      <w:pPr>
        <w:pStyle w:val="194"/>
        <w:spacing w:line="360" w:lineRule="auto"/>
        <w:ind w:firstLine="420" w:firstLineChars="200"/>
        <w:rPr>
          <w:rFonts w:hAnsi="宋体"/>
        </w:rPr>
      </w:pPr>
      <w:r>
        <w:rPr>
          <w:rFonts w:hint="eastAsia" w:hAnsi="宋体"/>
        </w:rPr>
        <w:t>（四）报名及询价文件发售</w:t>
      </w:r>
    </w:p>
    <w:p>
      <w:pPr>
        <w:pStyle w:val="194"/>
        <w:spacing w:line="360" w:lineRule="auto"/>
        <w:ind w:firstLine="420" w:firstLineChars="200"/>
        <w:rPr>
          <w:rFonts w:hAnsi="宋体"/>
        </w:rPr>
      </w:pPr>
      <w:r>
        <w:rPr>
          <w:rFonts w:hint="eastAsia" w:hAnsi="宋体"/>
        </w:rPr>
        <w:t>1、报名和询价文件发售</w:t>
      </w:r>
      <w:r>
        <w:rPr>
          <w:rFonts w:hint="eastAsia" w:hAnsi="宋体"/>
          <w:highlight w:val="none"/>
        </w:rPr>
        <w:t>期：2023年3月28日-2023年3月3</w:t>
      </w:r>
      <w:r>
        <w:rPr>
          <w:rFonts w:hint="eastAsia" w:hAnsi="宋体"/>
          <w:highlight w:val="none"/>
          <w:lang w:val="en-US" w:eastAsia="zh-CN"/>
        </w:rPr>
        <w:t>1</w:t>
      </w:r>
      <w:r>
        <w:rPr>
          <w:rFonts w:hint="eastAsia" w:hAnsi="宋体"/>
          <w:highlight w:val="none"/>
        </w:rPr>
        <w:t>日 16：00（工作时间）</w:t>
      </w:r>
    </w:p>
    <w:p>
      <w:pPr>
        <w:pStyle w:val="194"/>
        <w:spacing w:line="360" w:lineRule="auto"/>
        <w:ind w:firstLine="420" w:firstLineChars="200"/>
        <w:rPr>
          <w:rFonts w:hAnsi="宋体"/>
        </w:rPr>
      </w:pPr>
      <w:r>
        <w:rPr>
          <w:rFonts w:hint="eastAsia" w:hAnsi="宋体"/>
        </w:rPr>
        <w:t>2、询价文件售价：人民币500元/份（售后不退）</w:t>
      </w:r>
    </w:p>
    <w:p>
      <w:pPr>
        <w:pStyle w:val="194"/>
        <w:spacing w:line="360" w:lineRule="auto"/>
        <w:ind w:firstLine="420" w:firstLineChars="200"/>
        <w:rPr>
          <w:rFonts w:hAnsi="宋体"/>
        </w:rPr>
      </w:pPr>
      <w:r>
        <w:rPr>
          <w:rFonts w:hint="eastAsia" w:hAnsi="宋体"/>
        </w:rPr>
        <w:t>询价文件购买方式：汇款购买</w:t>
      </w:r>
    </w:p>
    <w:p>
      <w:pPr>
        <w:pStyle w:val="194"/>
        <w:spacing w:line="360" w:lineRule="auto"/>
        <w:ind w:firstLine="420" w:firstLineChars="200"/>
        <w:rPr>
          <w:rFonts w:hAnsi="宋体"/>
        </w:rPr>
      </w:pPr>
      <w:r>
        <w:rPr>
          <w:rFonts w:hint="eastAsia" w:hAnsi="宋体"/>
        </w:rPr>
        <w:t>在询价文件发售期内，供应商将询价文件购买费用汇至以下账户内进行购买。</w:t>
      </w:r>
    </w:p>
    <w:p>
      <w:pPr>
        <w:pStyle w:val="194"/>
        <w:spacing w:line="360" w:lineRule="auto"/>
        <w:ind w:firstLine="420" w:firstLineChars="200"/>
        <w:rPr>
          <w:rFonts w:hAnsi="宋体"/>
        </w:rPr>
      </w:pPr>
      <w:r>
        <w:rPr>
          <w:rFonts w:hint="eastAsia" w:hAnsi="宋体"/>
        </w:rPr>
        <w:t>户  名：重庆优凯项目管理有限公司</w:t>
      </w:r>
    </w:p>
    <w:p>
      <w:pPr>
        <w:pStyle w:val="194"/>
        <w:spacing w:line="360" w:lineRule="auto"/>
        <w:ind w:firstLine="420" w:firstLineChars="200"/>
        <w:rPr>
          <w:rFonts w:hAnsi="宋体"/>
          <w:sz w:val="24"/>
          <w:szCs w:val="24"/>
        </w:rPr>
      </w:pPr>
      <w:r>
        <w:rPr>
          <w:rFonts w:hint="eastAsia" w:hAnsi="宋体"/>
        </w:rPr>
        <w:t>开户行：</w:t>
      </w:r>
      <w:r>
        <w:rPr>
          <w:rFonts w:hint="eastAsia" w:hAnsi="宋体"/>
          <w:sz w:val="24"/>
          <w:szCs w:val="24"/>
        </w:rPr>
        <w:t>中国工商银行股份有限公司重庆金开支行</w:t>
      </w:r>
    </w:p>
    <w:p>
      <w:pPr>
        <w:pStyle w:val="194"/>
        <w:spacing w:line="360" w:lineRule="auto"/>
        <w:ind w:firstLine="420" w:firstLineChars="200"/>
        <w:rPr>
          <w:rFonts w:hAnsi="宋体"/>
        </w:rPr>
      </w:pPr>
      <w:r>
        <w:rPr>
          <w:rFonts w:hint="eastAsia" w:hAnsi="宋体"/>
        </w:rPr>
        <w:t>账  号：</w:t>
      </w:r>
      <w:r>
        <w:rPr>
          <w:rFonts w:hint="eastAsia" w:hAnsi="宋体"/>
          <w:sz w:val="24"/>
          <w:szCs w:val="24"/>
        </w:rPr>
        <w:t>3100087409100060073</w:t>
      </w:r>
    </w:p>
    <w:p>
      <w:pPr>
        <w:pStyle w:val="194"/>
        <w:spacing w:line="360" w:lineRule="auto"/>
        <w:ind w:firstLine="420" w:firstLineChars="200"/>
        <w:rPr>
          <w:rFonts w:hAnsi="宋体"/>
        </w:rPr>
      </w:pPr>
      <w:r>
        <w:rPr>
          <w:rFonts w:hint="eastAsia" w:hAnsi="宋体"/>
        </w:rPr>
        <w:t>3、报名方式：非现场报名方式</w:t>
      </w:r>
    </w:p>
    <w:p>
      <w:pPr>
        <w:pStyle w:val="194"/>
        <w:spacing w:line="360" w:lineRule="auto"/>
        <w:ind w:firstLine="420" w:firstLineChars="200"/>
        <w:rPr>
          <w:rFonts w:hAnsi="宋体"/>
        </w:rPr>
      </w:pPr>
      <w:r>
        <w:rPr>
          <w:rFonts w:hint="eastAsia" w:hAnsi="宋体"/>
        </w:rPr>
        <w:t>将询价文件汇款凭证、《询价文件发售登记表》（加盖供应商公章）扫描后发送至50611156@qq.com（邮箱）。在报名和询价文件发售期内购买了询价文件的供应商，其报名才被接收。</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rPr>
        <w:t>（五）响应文件</w:t>
      </w:r>
      <w:r>
        <w:rPr>
          <w:rFonts w:hint="eastAsia" w:ascii="宋体" w:hAnsi="宋体" w:cs="宋体"/>
          <w:sz w:val="21"/>
          <w:szCs w:val="21"/>
          <w:highlight w:val="none"/>
        </w:rPr>
        <w:t>递交地址：重庆优凯项目管理有限公司（重庆市两江新区榕杉路33号3幢7-10）</w:t>
      </w:r>
    </w:p>
    <w:p>
      <w:pPr>
        <w:snapToGrid w:val="0"/>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（六）响应文件递交开始时间：2023年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4</w:t>
      </w:r>
      <w:r>
        <w:rPr>
          <w:rFonts w:hint="eastAsia" w:ascii="宋体" w:hAnsi="宋体" w:cs="宋体"/>
          <w:sz w:val="21"/>
          <w:szCs w:val="21"/>
          <w:highlight w:val="none"/>
        </w:rPr>
        <w:t>日北京时间</w:t>
      </w:r>
      <w:r>
        <w:rPr>
          <w:rFonts w:hint="eastAsia" w:ascii="宋体" w:hAnsi="宋体" w:cs="宋体"/>
          <w:sz w:val="21"/>
          <w:szCs w:val="21"/>
          <w:highlight w:val="none"/>
          <w:u w:val="single"/>
        </w:rPr>
        <w:t>14</w:t>
      </w:r>
      <w:r>
        <w:rPr>
          <w:rFonts w:hint="eastAsia" w:ascii="宋体" w:hAnsi="宋体" w:cs="宋体"/>
          <w:sz w:val="21"/>
          <w:szCs w:val="21"/>
          <w:highlight w:val="none"/>
        </w:rPr>
        <w:t>时</w:t>
      </w:r>
      <w:r>
        <w:rPr>
          <w:rFonts w:hint="eastAsia" w:ascii="宋体" w:hAnsi="宋体" w:cs="宋体"/>
          <w:sz w:val="21"/>
          <w:szCs w:val="21"/>
          <w:highlight w:val="none"/>
          <w:u w:val="single"/>
          <w:lang w:val="en-US" w:eastAsia="zh-CN"/>
        </w:rPr>
        <w:t>10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（七）响应文件递交截止时间：2023年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4</w:t>
      </w:r>
      <w:r>
        <w:rPr>
          <w:rFonts w:hint="eastAsia" w:ascii="宋体" w:hAnsi="宋体" w:cs="宋体"/>
          <w:sz w:val="21"/>
          <w:szCs w:val="21"/>
          <w:highlight w:val="none"/>
        </w:rPr>
        <w:t>日北京时间</w:t>
      </w:r>
      <w:r>
        <w:rPr>
          <w:rFonts w:hint="eastAsia" w:ascii="宋体" w:hAnsi="宋体" w:cs="宋体"/>
          <w:sz w:val="21"/>
          <w:szCs w:val="21"/>
          <w:highlight w:val="none"/>
          <w:u w:val="single"/>
        </w:rPr>
        <w:t>14</w:t>
      </w:r>
      <w:r>
        <w:rPr>
          <w:rFonts w:hint="eastAsia" w:ascii="宋体" w:hAnsi="宋体" w:cs="宋体"/>
          <w:sz w:val="21"/>
          <w:szCs w:val="21"/>
          <w:highlight w:val="none"/>
        </w:rPr>
        <w:t>时</w:t>
      </w:r>
      <w:r>
        <w:rPr>
          <w:rFonts w:hint="eastAsia" w:ascii="宋体" w:hAnsi="宋体" w:cs="宋体"/>
          <w:sz w:val="21"/>
          <w:szCs w:val="21"/>
          <w:highlight w:val="none"/>
          <w:u w:val="single"/>
        </w:rPr>
        <w:t>30</w:t>
      </w:r>
      <w:r>
        <w:rPr>
          <w:rFonts w:hint="eastAsia" w:ascii="宋体" w:hAnsi="宋体" w:cs="宋体"/>
          <w:sz w:val="21"/>
          <w:szCs w:val="21"/>
          <w:highlight w:val="none"/>
        </w:rPr>
        <w:t>分</w:t>
      </w:r>
    </w:p>
    <w:p>
      <w:pPr>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（八）询价开始时间：2023年</w:t>
      </w:r>
      <w:r>
        <w:rPr>
          <w:rFonts w:hint="eastAsia" w:ascii="宋体" w:hAnsi="宋体" w:cs="宋体"/>
          <w:sz w:val="21"/>
          <w:szCs w:val="21"/>
          <w:highlight w:val="none"/>
          <w:lang w:val="en-US" w:eastAsia="zh-CN"/>
        </w:rPr>
        <w:t>4</w:t>
      </w:r>
      <w:r>
        <w:rPr>
          <w:rFonts w:hint="eastAsia" w:ascii="宋体" w:hAnsi="宋体" w:cs="宋体"/>
          <w:sz w:val="21"/>
          <w:szCs w:val="21"/>
          <w:highlight w:val="none"/>
        </w:rPr>
        <w:t>月</w:t>
      </w:r>
      <w:r>
        <w:rPr>
          <w:rFonts w:hint="eastAsia" w:ascii="宋体" w:hAnsi="宋体" w:cs="宋体"/>
          <w:sz w:val="21"/>
          <w:szCs w:val="21"/>
          <w:highlight w:val="none"/>
          <w:lang w:val="en-US" w:eastAsia="zh-CN"/>
        </w:rPr>
        <w:t>4</w:t>
      </w:r>
      <w:r>
        <w:rPr>
          <w:rFonts w:hint="eastAsia" w:ascii="宋体" w:hAnsi="宋体" w:cs="宋体"/>
          <w:sz w:val="21"/>
          <w:szCs w:val="21"/>
          <w:highlight w:val="none"/>
        </w:rPr>
        <w:t>日北京时间</w:t>
      </w:r>
      <w:r>
        <w:rPr>
          <w:rFonts w:hint="eastAsia" w:ascii="宋体" w:hAnsi="宋体" w:cs="宋体"/>
          <w:sz w:val="21"/>
          <w:szCs w:val="21"/>
          <w:highlight w:val="none"/>
          <w:u w:val="single"/>
        </w:rPr>
        <w:t>14</w:t>
      </w:r>
      <w:r>
        <w:rPr>
          <w:rFonts w:hint="eastAsia" w:ascii="宋体" w:hAnsi="宋体" w:cs="宋体"/>
          <w:sz w:val="21"/>
          <w:szCs w:val="21"/>
          <w:highlight w:val="none"/>
        </w:rPr>
        <w:t>时</w:t>
      </w:r>
      <w:r>
        <w:rPr>
          <w:rFonts w:hint="eastAsia" w:ascii="宋体" w:hAnsi="宋体" w:cs="宋体"/>
          <w:sz w:val="21"/>
          <w:szCs w:val="21"/>
          <w:highlight w:val="none"/>
          <w:u w:val="single"/>
        </w:rPr>
        <w:t>30</w:t>
      </w:r>
      <w:r>
        <w:rPr>
          <w:rFonts w:hint="eastAsia" w:ascii="宋体" w:hAnsi="宋体" w:cs="宋体"/>
          <w:sz w:val="21"/>
          <w:szCs w:val="21"/>
          <w:highlight w:val="none"/>
        </w:rPr>
        <w:t>分</w:t>
      </w:r>
      <w:bookmarkStart w:id="536" w:name="_GoBack"/>
      <w:bookmarkEnd w:id="536"/>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（九）询价地址：同响应文件递交地址</w:t>
      </w:r>
    </w:p>
    <w:bookmarkEnd w:id="45"/>
    <w:p>
      <w:pPr>
        <w:pStyle w:val="6"/>
        <w:spacing w:before="0" w:after="0" w:line="360" w:lineRule="auto"/>
        <w:rPr>
          <w:rFonts w:ascii="宋体" w:hAnsi="宋体" w:cs="宋体"/>
          <w:sz w:val="24"/>
        </w:rPr>
      </w:pPr>
      <w:bookmarkStart w:id="46" w:name="_Toc25420"/>
      <w:bookmarkStart w:id="47" w:name="_Toc13347"/>
      <w:bookmarkStart w:id="48" w:name="_Toc25642"/>
      <w:bookmarkStart w:id="49" w:name="_Toc26553"/>
      <w:bookmarkStart w:id="50" w:name="_Toc521318168"/>
      <w:bookmarkStart w:id="51" w:name="_Toc487204776"/>
      <w:r>
        <w:rPr>
          <w:rFonts w:hint="eastAsia" w:ascii="宋体" w:hAnsi="宋体" w:cs="宋体"/>
          <w:sz w:val="21"/>
          <w:szCs w:val="21"/>
        </w:rPr>
        <w:t>五、</w:t>
      </w:r>
      <w:r>
        <w:rPr>
          <w:rFonts w:hint="eastAsia" w:ascii="宋体" w:hAnsi="宋体" w:cs="宋体"/>
          <w:sz w:val="24"/>
        </w:rPr>
        <w:t>采购项目需落实的政府采购政策</w:t>
      </w:r>
      <w:bookmarkEnd w:id="46"/>
      <w:bookmarkEnd w:id="47"/>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（二）按照财政部、工业和信息化部关于印发《政府采购促进中小企业发展管理办法》的通知（财库〔2020〕46号），落实促进中小企业发展政策。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pacing w:line="360" w:lineRule="auto"/>
        <w:ind w:firstLine="480" w:firstLineChars="200"/>
        <w:rPr>
          <w:rFonts w:ascii="宋体" w:hAnsi="宋体" w:cs="宋体"/>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6"/>
        <w:spacing w:before="0" w:after="0" w:line="360" w:lineRule="auto"/>
        <w:rPr>
          <w:rFonts w:ascii="宋体" w:hAnsi="宋体" w:cs="宋体"/>
          <w:sz w:val="21"/>
          <w:szCs w:val="21"/>
        </w:rPr>
      </w:pPr>
      <w:bookmarkStart w:id="52" w:name="_Toc21950"/>
      <w:bookmarkStart w:id="53" w:name="_Toc10902"/>
      <w:r>
        <w:rPr>
          <w:rFonts w:hint="eastAsia" w:ascii="宋体" w:hAnsi="宋体" w:cs="宋体"/>
          <w:sz w:val="21"/>
          <w:szCs w:val="21"/>
        </w:rPr>
        <w:t>六、</w:t>
      </w:r>
      <w:bookmarkEnd w:id="31"/>
      <w:r>
        <w:rPr>
          <w:rFonts w:hint="eastAsia" w:ascii="宋体" w:hAnsi="宋体" w:cs="宋体"/>
          <w:sz w:val="21"/>
          <w:szCs w:val="21"/>
        </w:rPr>
        <w:t>询价有关规定</w:t>
      </w:r>
      <w:bookmarkEnd w:id="48"/>
      <w:bookmarkEnd w:id="49"/>
      <w:bookmarkEnd w:id="50"/>
      <w:bookmarkEnd w:id="51"/>
      <w:bookmarkEnd w:id="52"/>
      <w:bookmarkEnd w:id="53"/>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（一）单位负责人为同一人或者存在直接控股、管理关系的不同供应商，不得参加同一合同项（包）下的政府采购活动，否则均为无效报价。</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（三）同一合同项（包）下的货物，制造商参与报价的，不得再委托代理商参与报价。</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本项目的澄清文件（如果有）一律在重庆农业技术推广信息网（http://www.cqates.com/）上发布，请各供应商注意下载或到采购代理机构处领取；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（六）询价费用：无论询价结果如何，供应商参与本项目询价的所有费用均应由供应商自行承担。</w:t>
      </w:r>
    </w:p>
    <w:p>
      <w:pPr>
        <w:snapToGrid w:val="0"/>
        <w:spacing w:line="360" w:lineRule="auto"/>
        <w:ind w:firstLine="420" w:firstLineChars="200"/>
        <w:rPr>
          <w:rFonts w:ascii="宋体" w:hAnsi="宋体" w:cs="宋体"/>
          <w:sz w:val="21"/>
          <w:szCs w:val="21"/>
        </w:rPr>
      </w:pPr>
    </w:p>
    <w:p>
      <w:pPr>
        <w:pStyle w:val="6"/>
        <w:spacing w:before="0" w:after="0" w:line="360" w:lineRule="auto"/>
        <w:rPr>
          <w:rFonts w:ascii="宋体" w:hAnsi="宋体" w:cs="宋体"/>
          <w:sz w:val="21"/>
          <w:szCs w:val="21"/>
        </w:rPr>
      </w:pPr>
      <w:bookmarkStart w:id="54" w:name="_Toc487204777"/>
      <w:bookmarkStart w:id="55" w:name="_Toc13126"/>
      <w:bookmarkStart w:id="56" w:name="_Toc521318169"/>
      <w:bookmarkStart w:id="57" w:name="_Toc14296"/>
      <w:bookmarkStart w:id="58" w:name="_Toc30003"/>
      <w:bookmarkStart w:id="59" w:name="_Toc11638"/>
      <w:r>
        <w:rPr>
          <w:rFonts w:hint="eastAsia" w:ascii="宋体" w:hAnsi="宋体" w:cs="宋体"/>
          <w:sz w:val="21"/>
          <w:szCs w:val="21"/>
        </w:rPr>
        <w:t>七、联系方式</w:t>
      </w:r>
      <w:bookmarkEnd w:id="54"/>
      <w:bookmarkEnd w:id="55"/>
      <w:bookmarkEnd w:id="56"/>
      <w:bookmarkEnd w:id="57"/>
      <w:bookmarkEnd w:id="58"/>
      <w:bookmarkEnd w:id="59"/>
    </w:p>
    <w:p>
      <w:pPr>
        <w:tabs>
          <w:tab w:val="left" w:pos="720"/>
        </w:tabs>
        <w:adjustRightInd w:val="0"/>
        <w:snapToGrid w:val="0"/>
        <w:spacing w:line="360" w:lineRule="auto"/>
        <w:ind w:firstLine="411" w:firstLineChars="196"/>
        <w:rPr>
          <w:rFonts w:ascii="宋体" w:hAnsi="宋体" w:cs="宋体"/>
          <w:sz w:val="21"/>
          <w:szCs w:val="21"/>
        </w:rPr>
      </w:pPr>
      <w:bookmarkStart w:id="60" w:name="_Toc102227313"/>
      <w:r>
        <w:rPr>
          <w:rFonts w:hint="eastAsia" w:ascii="宋体" w:hAnsi="宋体" w:cs="宋体"/>
          <w:sz w:val="21"/>
          <w:szCs w:val="21"/>
        </w:rPr>
        <w:t>（一）采购人：重庆市柑橘产业协会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联系人：黄老师</w:t>
      </w:r>
    </w:p>
    <w:p>
      <w:pPr>
        <w:snapToGrid w:val="0"/>
        <w:spacing w:line="360" w:lineRule="auto"/>
        <w:ind w:firstLine="480" w:firstLineChars="200"/>
        <w:outlineLvl w:val="2"/>
        <w:rPr>
          <w:rFonts w:ascii="宋体" w:hAnsi="宋体" w:cs="宋体"/>
          <w:sz w:val="24"/>
          <w:szCs w:val="24"/>
        </w:rPr>
      </w:pPr>
      <w:r>
        <w:rPr>
          <w:rFonts w:hint="eastAsia" w:ascii="宋体" w:hAnsi="宋体" w:cs="宋体"/>
          <w:sz w:val="24"/>
          <w:szCs w:val="24"/>
        </w:rPr>
        <w:t>电  话：023-89133431</w:t>
      </w:r>
    </w:p>
    <w:p>
      <w:pPr>
        <w:snapToGrid w:val="0"/>
        <w:spacing w:line="360" w:lineRule="auto"/>
        <w:ind w:firstLine="480" w:firstLineChars="200"/>
        <w:outlineLvl w:val="2"/>
        <w:rPr>
          <w:rFonts w:ascii="宋体" w:hAnsi="宋体" w:cs="宋体"/>
          <w:sz w:val="24"/>
          <w:szCs w:val="24"/>
        </w:rPr>
      </w:pPr>
      <w:r>
        <w:rPr>
          <w:rFonts w:hint="eastAsia" w:ascii="宋体" w:hAnsi="宋体" w:cs="宋体"/>
          <w:sz w:val="24"/>
          <w:szCs w:val="24"/>
        </w:rPr>
        <w:t>地  址：两江新区黄山大道东段186号1207室</w:t>
      </w:r>
    </w:p>
    <w:p>
      <w:pPr>
        <w:tabs>
          <w:tab w:val="left" w:pos="720"/>
        </w:tabs>
        <w:adjustRightInd w:val="0"/>
        <w:snapToGrid w:val="0"/>
        <w:spacing w:line="360" w:lineRule="auto"/>
        <w:ind w:firstLine="411" w:firstLineChars="196"/>
        <w:rPr>
          <w:rFonts w:ascii="宋体" w:hAnsi="宋体" w:cs="宋体"/>
          <w:sz w:val="21"/>
          <w:szCs w:val="21"/>
        </w:rPr>
      </w:pPr>
      <w:r>
        <w:rPr>
          <w:rFonts w:hint="eastAsia" w:ascii="宋体" w:hAnsi="宋体" w:cs="宋体"/>
          <w:sz w:val="21"/>
          <w:szCs w:val="21"/>
        </w:rPr>
        <w:t>（二）采购代理机构：重庆优凯项目管理有限公司</w:t>
      </w:r>
    </w:p>
    <w:p>
      <w:pPr>
        <w:tabs>
          <w:tab w:val="left" w:pos="720"/>
        </w:tabs>
        <w:adjustRightInd w:val="0"/>
        <w:snapToGrid w:val="0"/>
        <w:spacing w:line="360" w:lineRule="auto"/>
        <w:ind w:firstLine="411" w:firstLineChars="196"/>
        <w:rPr>
          <w:rFonts w:ascii="宋体" w:hAnsi="宋体" w:cs="宋体"/>
          <w:sz w:val="21"/>
          <w:szCs w:val="21"/>
        </w:rPr>
      </w:pPr>
      <w:r>
        <w:rPr>
          <w:rFonts w:hint="eastAsia" w:ascii="宋体" w:hAnsi="宋体" w:cs="宋体"/>
          <w:sz w:val="21"/>
          <w:szCs w:val="21"/>
        </w:rPr>
        <w:t>联系人：吴老师</w:t>
      </w:r>
    </w:p>
    <w:p>
      <w:pPr>
        <w:tabs>
          <w:tab w:val="left" w:pos="720"/>
        </w:tabs>
        <w:adjustRightInd w:val="0"/>
        <w:snapToGrid w:val="0"/>
        <w:spacing w:line="360" w:lineRule="auto"/>
        <w:ind w:firstLine="411" w:firstLineChars="196"/>
        <w:rPr>
          <w:rFonts w:ascii="宋体" w:hAnsi="宋体" w:cs="宋体"/>
          <w:sz w:val="21"/>
          <w:szCs w:val="21"/>
        </w:rPr>
      </w:pPr>
      <w:r>
        <w:rPr>
          <w:rFonts w:hint="eastAsia" w:ascii="宋体" w:hAnsi="宋体" w:cs="宋体"/>
          <w:sz w:val="21"/>
          <w:szCs w:val="21"/>
        </w:rPr>
        <w:t>电  话：023--63015283，15320588222</w:t>
      </w:r>
    </w:p>
    <w:p>
      <w:pPr>
        <w:tabs>
          <w:tab w:val="left" w:pos="720"/>
        </w:tabs>
        <w:adjustRightInd w:val="0"/>
        <w:snapToGrid w:val="0"/>
        <w:spacing w:line="360" w:lineRule="auto"/>
        <w:ind w:firstLine="420" w:firstLineChars="200"/>
        <w:rPr>
          <w:rFonts w:ascii="宋体" w:hAnsi="宋体" w:cs="宋体"/>
          <w:sz w:val="24"/>
          <w:szCs w:val="24"/>
        </w:rPr>
      </w:pPr>
      <w:r>
        <w:rPr>
          <w:rFonts w:hint="eastAsia" w:ascii="宋体" w:hAnsi="宋体" w:cs="宋体"/>
          <w:sz w:val="21"/>
          <w:szCs w:val="21"/>
        </w:rPr>
        <w:t>地  址：重庆市两江新区榕杉路33号3幢7-10</w:t>
      </w:r>
      <w:r>
        <w:rPr>
          <w:rFonts w:hint="eastAsia" w:ascii="宋体" w:hAnsi="宋体" w:cs="宋体"/>
          <w:sz w:val="24"/>
          <w:szCs w:val="24"/>
        </w:rPr>
        <w:br w:type="page"/>
      </w:r>
    </w:p>
    <w:p>
      <w:pPr>
        <w:pStyle w:val="2"/>
        <w:spacing w:after="0"/>
        <w:rPr>
          <w:rFonts w:ascii="宋体" w:hAnsi="宋体" w:cs="宋体"/>
          <w:sz w:val="24"/>
          <w:szCs w:val="24"/>
        </w:rPr>
      </w:pPr>
    </w:p>
    <w:p>
      <w:pPr>
        <w:pStyle w:val="2"/>
        <w:spacing w:after="0"/>
        <w:rPr>
          <w:rFonts w:ascii="宋体" w:hAnsi="宋体" w:cs="宋体"/>
          <w:sz w:val="24"/>
        </w:rPr>
      </w:pPr>
      <w:r>
        <w:rPr>
          <w:rFonts w:hint="eastAsia" w:ascii="宋体" w:hAnsi="宋体" w:cs="宋体"/>
          <w:sz w:val="24"/>
          <w:szCs w:val="24"/>
        </w:rPr>
        <w:t>附表—— 《询价文件发售登记表》</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询价文件发售登记表</w:t>
      </w:r>
    </w:p>
    <w:p>
      <w:pPr>
        <w:jc w:val="left"/>
        <w:rPr>
          <w:rFonts w:ascii="宋体" w:hAnsi="宋体" w:cs="宋体"/>
          <w:b/>
          <w:bCs/>
          <w:spacing w:val="40"/>
        </w:rPr>
      </w:pPr>
    </w:p>
    <w:p>
      <w:pPr>
        <w:jc w:val="left"/>
        <w:rPr>
          <w:rFonts w:ascii="宋体" w:hAnsi="宋体" w:cs="宋体"/>
          <w:b/>
          <w:bCs/>
          <w:spacing w:val="40"/>
        </w:rPr>
      </w:pPr>
    </w:p>
    <w:tbl>
      <w:tblPr>
        <w:tblStyle w:val="5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211"/>
        <w:gridCol w:w="963"/>
        <w:gridCol w:w="3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2169" w:type="dxa"/>
            <w:vAlign w:val="center"/>
          </w:tcPr>
          <w:p>
            <w:pPr>
              <w:spacing w:line="360" w:lineRule="auto"/>
              <w:rPr>
                <w:rFonts w:ascii="宋体" w:hAnsi="宋体" w:cs="宋体"/>
              </w:rPr>
            </w:pPr>
            <w:r>
              <w:rPr>
                <w:rFonts w:hint="eastAsia" w:ascii="宋体" w:hAnsi="宋体" w:cs="宋体"/>
              </w:rPr>
              <w:t>项目编号/项目名称</w:t>
            </w:r>
          </w:p>
        </w:tc>
        <w:tc>
          <w:tcPr>
            <w:tcW w:w="6810" w:type="dxa"/>
            <w:gridSpan w:val="3"/>
            <w:vAlign w:val="center"/>
          </w:tcPr>
          <w:p>
            <w:pPr>
              <w:rPr>
                <w:rFonts w:ascii="宋体" w:hAnsi="宋体" w:cs="宋体"/>
              </w:rPr>
            </w:pPr>
            <w:r>
              <w:rPr>
                <w:rFonts w:hint="eastAsia" w:ascii="宋体" w:hAnsi="宋体" w:cs="宋体"/>
              </w:rPr>
              <w:t>CQS22C01294/三峡柑橘精美宣传画册制作</w:t>
            </w:r>
          </w:p>
          <w:p>
            <w:pPr>
              <w:rPr>
                <w:rFonts w:ascii="宋体" w:hAnsi="宋体" w:cs="宋体"/>
                <w:b/>
                <w:bCs/>
              </w:rPr>
            </w:pPr>
            <w:r>
              <w:rPr>
                <w:rFonts w:hint="eastAsia" w:ascii="宋体" w:hAnsi="宋体" w:cs="宋体"/>
              </w:rPr>
              <w:t>(2022-YK-002)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2169" w:type="dxa"/>
            <w:vAlign w:val="center"/>
          </w:tcPr>
          <w:p>
            <w:pPr>
              <w:spacing w:line="360" w:lineRule="auto"/>
              <w:ind w:firstLine="140" w:firstLineChars="50"/>
              <w:rPr>
                <w:rFonts w:ascii="宋体" w:hAnsi="宋体" w:cs="宋体"/>
              </w:rPr>
            </w:pPr>
            <w:r>
              <w:rPr>
                <w:rFonts w:hint="eastAsia" w:ascii="宋体" w:hAnsi="宋体" w:cs="宋体"/>
              </w:rPr>
              <w:t>供应商名称</w:t>
            </w:r>
          </w:p>
        </w:tc>
        <w:tc>
          <w:tcPr>
            <w:tcW w:w="6810" w:type="dxa"/>
            <w:gridSpan w:val="3"/>
            <w:vAlign w:val="bottom"/>
          </w:tcPr>
          <w:p>
            <w:pPr>
              <w:jc w:val="right"/>
              <w:rPr>
                <w:rFonts w:ascii="宋体" w:hAnsi="宋体" w:cs="宋体"/>
              </w:rPr>
            </w:pPr>
            <w:r>
              <w:rPr>
                <w:rFonts w:hint="eastAsia" w:ascii="宋体" w:hAnsi="宋体" w:cs="宋体"/>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169" w:type="dxa"/>
            <w:vAlign w:val="center"/>
          </w:tcPr>
          <w:p>
            <w:pPr>
              <w:spacing w:line="360" w:lineRule="auto"/>
              <w:ind w:firstLine="560" w:firstLineChars="200"/>
              <w:rPr>
                <w:rFonts w:ascii="宋体" w:hAnsi="宋体" w:cs="宋体"/>
              </w:rPr>
            </w:pPr>
            <w:r>
              <w:rPr>
                <w:rFonts w:hint="eastAsia" w:ascii="宋体" w:hAnsi="宋体" w:cs="宋体"/>
              </w:rPr>
              <w:t>联系人</w:t>
            </w:r>
          </w:p>
        </w:tc>
        <w:tc>
          <w:tcPr>
            <w:tcW w:w="2211" w:type="dxa"/>
            <w:vAlign w:val="center"/>
          </w:tcPr>
          <w:p>
            <w:pPr>
              <w:jc w:val="left"/>
              <w:rPr>
                <w:rFonts w:ascii="宋体" w:hAnsi="宋体" w:cs="宋体"/>
              </w:rPr>
            </w:pPr>
          </w:p>
        </w:tc>
        <w:tc>
          <w:tcPr>
            <w:tcW w:w="963" w:type="dxa"/>
            <w:vAlign w:val="center"/>
          </w:tcPr>
          <w:p>
            <w:pPr>
              <w:jc w:val="left"/>
              <w:rPr>
                <w:rFonts w:ascii="宋体" w:hAnsi="宋体" w:cs="宋体"/>
              </w:rPr>
            </w:pPr>
            <w:r>
              <w:rPr>
                <w:rFonts w:hint="eastAsia" w:ascii="宋体" w:hAnsi="宋体" w:cs="宋体"/>
              </w:rPr>
              <w:t>手机</w:t>
            </w:r>
          </w:p>
        </w:tc>
        <w:tc>
          <w:tcPr>
            <w:tcW w:w="3636" w:type="dxa"/>
            <w:vAlign w:val="center"/>
          </w:tcPr>
          <w:p>
            <w:pPr>
              <w:jc w:val="lef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2169" w:type="dxa"/>
            <w:vAlign w:val="center"/>
          </w:tcPr>
          <w:p>
            <w:pPr>
              <w:spacing w:line="360" w:lineRule="auto"/>
              <w:ind w:firstLine="560" w:firstLineChars="200"/>
              <w:rPr>
                <w:rFonts w:ascii="宋体" w:hAnsi="宋体" w:cs="宋体"/>
              </w:rPr>
            </w:pPr>
            <w:r>
              <w:rPr>
                <w:rFonts w:hint="eastAsia" w:ascii="宋体" w:hAnsi="宋体" w:cs="宋体"/>
              </w:rPr>
              <w:t>办公电话</w:t>
            </w:r>
          </w:p>
        </w:tc>
        <w:tc>
          <w:tcPr>
            <w:tcW w:w="2211" w:type="dxa"/>
            <w:vAlign w:val="center"/>
          </w:tcPr>
          <w:p>
            <w:pPr>
              <w:jc w:val="left"/>
              <w:rPr>
                <w:rFonts w:ascii="宋体" w:hAnsi="宋体" w:cs="宋体"/>
              </w:rPr>
            </w:pPr>
          </w:p>
        </w:tc>
        <w:tc>
          <w:tcPr>
            <w:tcW w:w="963" w:type="dxa"/>
            <w:vAlign w:val="center"/>
          </w:tcPr>
          <w:p>
            <w:pPr>
              <w:jc w:val="left"/>
              <w:rPr>
                <w:rFonts w:ascii="宋体" w:hAnsi="宋体" w:cs="宋体"/>
              </w:rPr>
            </w:pPr>
            <w:r>
              <w:rPr>
                <w:rFonts w:hint="eastAsia" w:ascii="宋体" w:hAnsi="宋体" w:cs="宋体"/>
              </w:rPr>
              <w:t>传真</w:t>
            </w:r>
          </w:p>
        </w:tc>
        <w:tc>
          <w:tcPr>
            <w:tcW w:w="3636" w:type="dxa"/>
            <w:vAlign w:val="center"/>
          </w:tcPr>
          <w:p>
            <w:pPr>
              <w:jc w:val="lef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169" w:type="dxa"/>
            <w:vAlign w:val="center"/>
          </w:tcPr>
          <w:p>
            <w:pPr>
              <w:spacing w:line="360" w:lineRule="auto"/>
              <w:ind w:firstLine="560" w:firstLineChars="200"/>
              <w:rPr>
                <w:rFonts w:ascii="宋体" w:hAnsi="宋体" w:cs="宋体"/>
              </w:rPr>
            </w:pPr>
            <w:r>
              <w:rPr>
                <w:rFonts w:hint="eastAsia" w:ascii="宋体" w:hAnsi="宋体" w:cs="宋体"/>
              </w:rPr>
              <w:t>E-mail</w:t>
            </w:r>
          </w:p>
        </w:tc>
        <w:tc>
          <w:tcPr>
            <w:tcW w:w="6810" w:type="dxa"/>
            <w:gridSpan w:val="3"/>
            <w:vAlign w:val="center"/>
          </w:tcPr>
          <w:p>
            <w:pPr>
              <w:jc w:val="lef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169" w:type="dxa"/>
            <w:vAlign w:val="center"/>
          </w:tcPr>
          <w:p>
            <w:pPr>
              <w:spacing w:line="360" w:lineRule="auto"/>
              <w:ind w:firstLine="560" w:firstLineChars="200"/>
              <w:rPr>
                <w:rFonts w:ascii="宋体" w:hAnsi="宋体" w:cs="宋体"/>
              </w:rPr>
            </w:pPr>
            <w:r>
              <w:rPr>
                <w:rFonts w:hint="eastAsia" w:ascii="宋体" w:hAnsi="宋体" w:cs="宋体"/>
              </w:rPr>
              <w:t>单位地址</w:t>
            </w:r>
          </w:p>
        </w:tc>
        <w:tc>
          <w:tcPr>
            <w:tcW w:w="6810" w:type="dxa"/>
            <w:gridSpan w:val="3"/>
            <w:vAlign w:val="center"/>
          </w:tcPr>
          <w:p>
            <w:pPr>
              <w:jc w:val="left"/>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8979" w:type="dxa"/>
            <w:gridSpan w:val="4"/>
            <w:vAlign w:val="center"/>
          </w:tcPr>
          <w:p>
            <w:pPr>
              <w:spacing w:line="360" w:lineRule="auto"/>
              <w:ind w:firstLine="560" w:firstLineChars="200"/>
              <w:rPr>
                <w:rFonts w:ascii="宋体" w:hAnsi="宋体" w:cs="宋体"/>
              </w:rPr>
            </w:pPr>
            <w:r>
              <w:rPr>
                <w:rFonts w:hint="eastAsia" w:ascii="宋体" w:hAnsi="宋体" w:cs="宋体"/>
              </w:rPr>
              <w:t>购本项目标书1份，共计500.00元。</w:t>
            </w:r>
          </w:p>
        </w:tc>
      </w:tr>
    </w:tbl>
    <w:p>
      <w:pPr>
        <w:pStyle w:val="5"/>
        <w:spacing w:before="0" w:after="0" w:line="360" w:lineRule="auto"/>
        <w:jc w:val="center"/>
        <w:rPr>
          <w:rFonts w:ascii="宋体" w:hAnsi="宋体" w:eastAsia="宋体" w:cs="宋体"/>
          <w:b w:val="0"/>
          <w:bCs/>
          <w:sz w:val="44"/>
          <w:szCs w:val="44"/>
        </w:rPr>
      </w:pPr>
      <w:r>
        <w:rPr>
          <w:rFonts w:hint="eastAsia" w:ascii="宋体" w:hAnsi="宋体" w:eastAsia="宋体" w:cs="宋体"/>
          <w:sz w:val="21"/>
          <w:szCs w:val="21"/>
        </w:rPr>
        <w:br w:type="page"/>
      </w:r>
      <w:bookmarkStart w:id="61" w:name="_Toc521318170"/>
      <w:bookmarkStart w:id="62" w:name="_Toc29979"/>
      <w:bookmarkStart w:id="63" w:name="_Toc8787"/>
      <w:bookmarkStart w:id="64" w:name="_Toc487204778"/>
      <w:bookmarkStart w:id="65" w:name="_Toc25845"/>
      <w:bookmarkStart w:id="66" w:name="_Toc31217"/>
      <w:bookmarkStart w:id="67" w:name="_Toc25084"/>
      <w:r>
        <w:rPr>
          <w:rFonts w:hint="eastAsia" w:ascii="宋体" w:hAnsi="宋体" w:eastAsia="宋体" w:cs="宋体"/>
          <w:sz w:val="36"/>
          <w:szCs w:val="36"/>
        </w:rPr>
        <w:t xml:space="preserve">第二篇 </w:t>
      </w:r>
      <w:bookmarkEnd w:id="60"/>
      <w:bookmarkEnd w:id="61"/>
      <w:bookmarkEnd w:id="62"/>
      <w:bookmarkEnd w:id="63"/>
      <w:bookmarkEnd w:id="64"/>
      <w:r>
        <w:rPr>
          <w:rFonts w:hint="eastAsia" w:ascii="宋体" w:hAnsi="宋体" w:eastAsia="宋体" w:cs="宋体"/>
          <w:sz w:val="36"/>
          <w:szCs w:val="36"/>
        </w:rPr>
        <w:t>询价项目技术（质量）需求</w:t>
      </w:r>
      <w:bookmarkEnd w:id="65"/>
      <w:bookmarkEnd w:id="66"/>
      <w:bookmarkEnd w:id="67"/>
    </w:p>
    <w:p>
      <w:pPr>
        <w:spacing w:line="360" w:lineRule="auto"/>
        <w:rPr>
          <w:rFonts w:ascii="宋体" w:hAnsi="宋体" w:cs="宋体"/>
          <w:sz w:val="21"/>
          <w:szCs w:val="21"/>
        </w:rPr>
      </w:pPr>
      <w:bookmarkStart w:id="68" w:name="_Toc65660339"/>
      <w:bookmarkStart w:id="69" w:name="_Toc24129"/>
      <w:bookmarkStart w:id="70" w:name="_Toc446"/>
      <w:bookmarkStart w:id="71" w:name="_Toc26971"/>
      <w:bookmarkStart w:id="72" w:name="_Toc20636"/>
      <w:bookmarkStart w:id="73" w:name="_Toc116294839"/>
      <w:r>
        <w:rPr>
          <w:rFonts w:hint="eastAsia" w:ascii="宋体" w:hAnsi="宋体" w:cs="宋体"/>
          <w:b/>
          <w:bCs/>
          <w:sz w:val="24"/>
        </w:rPr>
        <w:t>一、项目一览表</w:t>
      </w:r>
      <w:bookmarkEnd w:id="68"/>
      <w:bookmarkEnd w:id="69"/>
      <w:bookmarkEnd w:id="70"/>
      <w:bookmarkEnd w:id="71"/>
      <w:bookmarkEnd w:id="72"/>
      <w:bookmarkEnd w:id="73"/>
    </w:p>
    <w:tbl>
      <w:tblPr>
        <w:tblStyle w:val="57"/>
        <w:tblW w:w="9037" w:type="dxa"/>
        <w:tblInd w:w="96" w:type="dxa"/>
        <w:tblLayout w:type="autofit"/>
        <w:tblCellMar>
          <w:top w:w="0" w:type="dxa"/>
          <w:left w:w="108" w:type="dxa"/>
          <w:bottom w:w="0" w:type="dxa"/>
          <w:right w:w="108" w:type="dxa"/>
        </w:tblCellMar>
      </w:tblPr>
      <w:tblGrid>
        <w:gridCol w:w="778"/>
        <w:gridCol w:w="2089"/>
        <w:gridCol w:w="3682"/>
        <w:gridCol w:w="1111"/>
        <w:gridCol w:w="1377"/>
      </w:tblGrid>
      <w:tr>
        <w:trPr>
          <w:trHeight w:val="649" w:hRule="atLeast"/>
        </w:trPr>
        <w:tc>
          <w:tcPr>
            <w:tcW w:w="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序号</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项目名称</w:t>
            </w:r>
          </w:p>
        </w:tc>
        <w:tc>
          <w:tcPr>
            <w:tcW w:w="3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规格型号或要求</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计量</w:t>
            </w:r>
          </w:p>
          <w:p>
            <w:pPr>
              <w:widowControl/>
              <w:jc w:val="center"/>
              <w:textAlignment w:val="center"/>
              <w:rPr>
                <w:rFonts w:ascii="宋体" w:hAnsi="宋体" w:cs="宋体"/>
                <w:sz w:val="24"/>
                <w:szCs w:val="24"/>
              </w:rPr>
            </w:pPr>
            <w:r>
              <w:rPr>
                <w:rFonts w:hint="eastAsia" w:ascii="宋体" w:hAnsi="宋体" w:cs="宋体"/>
                <w:kern w:val="0"/>
                <w:sz w:val="24"/>
                <w:szCs w:val="24"/>
              </w:rPr>
              <w:t>单位</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数量</w:t>
            </w:r>
          </w:p>
        </w:tc>
      </w:tr>
      <w:tr>
        <w:tblPrEx>
          <w:tblCellMar>
            <w:top w:w="0" w:type="dxa"/>
            <w:left w:w="108" w:type="dxa"/>
            <w:bottom w:w="0" w:type="dxa"/>
            <w:right w:w="108" w:type="dxa"/>
          </w:tblCellMar>
        </w:tblPrEx>
        <w:trPr>
          <w:trHeight w:val="890" w:hRule="atLeast"/>
        </w:trPr>
        <w:tc>
          <w:tcPr>
            <w:tcW w:w="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3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5043"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 xml:space="preserve">1 </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三峡柑橘精美宣传画册制作</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sz w:val="24"/>
                <w:szCs w:val="24"/>
              </w:rPr>
            </w:pPr>
            <w:r>
              <w:rPr>
                <w:rFonts w:hint="eastAsia" w:ascii="宋体" w:hAnsi="宋体" w:cs="宋体"/>
                <w:kern w:val="0"/>
                <w:sz w:val="24"/>
                <w:szCs w:val="24"/>
              </w:rPr>
              <w:t>①征集三峡柑橘精美图片100张，图片内容包含柑橘开花、结果、采摘以及采后加工、精深加工、果农喜获丰收等图片，图片尺寸不低于210*197，分辨率不低于300dpi。</w:t>
            </w:r>
            <w:r>
              <w:rPr>
                <w:rFonts w:hint="eastAsia" w:ascii="宋体" w:hAnsi="宋体" w:cs="宋体"/>
                <w:kern w:val="0"/>
                <w:sz w:val="24"/>
                <w:szCs w:val="24"/>
              </w:rPr>
              <w:br w:type="textWrapping"/>
            </w:r>
            <w:r>
              <w:rPr>
                <w:rFonts w:hint="eastAsia" w:ascii="宋体" w:hAnsi="宋体" w:cs="宋体"/>
                <w:kern w:val="0"/>
                <w:sz w:val="24"/>
                <w:szCs w:val="24"/>
              </w:rPr>
              <w:t>②精美画册图案设计。</w:t>
            </w:r>
            <w:r>
              <w:rPr>
                <w:rFonts w:hint="eastAsia" w:ascii="宋体" w:hAnsi="宋体" w:cs="宋体"/>
                <w:kern w:val="0"/>
                <w:sz w:val="24"/>
                <w:szCs w:val="24"/>
              </w:rPr>
              <w:br w:type="textWrapping"/>
            </w:r>
            <w:r>
              <w:rPr>
                <w:rFonts w:hint="eastAsia" w:ascii="宋体" w:hAnsi="宋体" w:cs="宋体"/>
                <w:kern w:val="0"/>
                <w:sz w:val="24"/>
                <w:szCs w:val="24"/>
              </w:rPr>
              <w:t>③制作精美宣传画册(16开页面)，材质不低于157克铜板纸，2000册。</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册</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sz w:val="24"/>
                <w:szCs w:val="24"/>
              </w:rPr>
            </w:pPr>
            <w:r>
              <w:rPr>
                <w:rFonts w:hint="eastAsia" w:ascii="宋体" w:hAnsi="宋体" w:cs="宋体"/>
                <w:kern w:val="0"/>
                <w:sz w:val="24"/>
                <w:szCs w:val="24"/>
              </w:rPr>
              <w:t>2000</w:t>
            </w:r>
          </w:p>
        </w:tc>
      </w:tr>
    </w:tbl>
    <w:p>
      <w:pPr>
        <w:spacing w:line="360" w:lineRule="auto"/>
        <w:ind w:firstLine="420" w:firstLineChars="200"/>
        <w:rPr>
          <w:rFonts w:ascii="宋体" w:hAnsi="宋体" w:cs="宋体"/>
          <w:sz w:val="21"/>
          <w:szCs w:val="21"/>
        </w:rPr>
        <w:sectPr>
          <w:footerReference r:id="rId10" w:type="default"/>
          <w:pgSz w:w="11907" w:h="16840"/>
          <w:pgMar w:top="1134" w:right="1191" w:bottom="1021" w:left="1304" w:header="964" w:footer="992" w:gutter="0"/>
          <w:pgNumType w:fmt="numberInDash"/>
          <w:cols w:space="720" w:num="1"/>
          <w:docGrid w:linePitch="312" w:charSpace="0"/>
        </w:sectPr>
      </w:pPr>
    </w:p>
    <w:p>
      <w:pPr>
        <w:pStyle w:val="5"/>
        <w:spacing w:before="0" w:after="0" w:line="360" w:lineRule="auto"/>
        <w:jc w:val="center"/>
        <w:rPr>
          <w:rFonts w:ascii="宋体" w:hAnsi="宋体" w:eastAsia="宋体" w:cs="宋体"/>
          <w:bCs/>
          <w:kern w:val="0"/>
          <w:sz w:val="21"/>
          <w:szCs w:val="21"/>
        </w:rPr>
      </w:pPr>
      <w:bookmarkStart w:id="74" w:name="_Toc9225"/>
      <w:bookmarkStart w:id="75" w:name="_Toc11568"/>
      <w:bookmarkStart w:id="76" w:name="_Toc521318180"/>
      <w:bookmarkStart w:id="77" w:name="_Toc10959"/>
      <w:bookmarkStart w:id="78" w:name="_Toc27350"/>
      <w:bookmarkStart w:id="79" w:name="_Toc3644"/>
      <w:r>
        <w:rPr>
          <w:rFonts w:hint="eastAsia" w:ascii="宋体" w:hAnsi="宋体" w:eastAsia="宋体" w:cs="宋体"/>
          <w:sz w:val="36"/>
          <w:szCs w:val="36"/>
        </w:rPr>
        <w:t xml:space="preserve">第三篇 </w:t>
      </w:r>
      <w:bookmarkEnd w:id="74"/>
      <w:bookmarkEnd w:id="75"/>
      <w:bookmarkEnd w:id="76"/>
      <w:r>
        <w:rPr>
          <w:rFonts w:hint="eastAsia" w:ascii="宋体" w:hAnsi="宋体" w:eastAsia="宋体" w:cs="宋体"/>
          <w:sz w:val="36"/>
          <w:szCs w:val="36"/>
        </w:rPr>
        <w:t>询价项目服务需求</w:t>
      </w:r>
      <w:bookmarkEnd w:id="77"/>
      <w:bookmarkEnd w:id="78"/>
      <w:bookmarkEnd w:id="79"/>
    </w:p>
    <w:p>
      <w:pPr>
        <w:keepNext/>
        <w:keepLines/>
        <w:adjustRightInd w:val="0"/>
        <w:snapToGrid w:val="0"/>
        <w:spacing w:line="360" w:lineRule="auto"/>
        <w:ind w:firstLine="482" w:firstLineChars="200"/>
        <w:outlineLvl w:val="1"/>
        <w:rPr>
          <w:rFonts w:ascii="宋体" w:hAnsi="宋体" w:cs="宋体"/>
          <w:b/>
          <w:sz w:val="24"/>
        </w:rPr>
      </w:pPr>
      <w:bookmarkStart w:id="80" w:name="_Toc26696"/>
      <w:bookmarkStart w:id="81" w:name="_Toc23712"/>
      <w:bookmarkStart w:id="82" w:name="_Toc116294842"/>
      <w:bookmarkStart w:id="83" w:name="_Toc13555"/>
      <w:bookmarkStart w:id="84" w:name="_Toc17750"/>
      <w:bookmarkStart w:id="85" w:name="_Toc18850"/>
      <w:bookmarkStart w:id="86" w:name="_Toc65660342"/>
      <w:bookmarkStart w:id="87" w:name="_Toc12935"/>
      <w:bookmarkStart w:id="88" w:name="_Toc521318183"/>
      <w:bookmarkStart w:id="89" w:name="_Toc16507"/>
      <w:bookmarkStart w:id="90" w:name="_Toc26318"/>
      <w:bookmarkStart w:id="91" w:name="_Toc12789058"/>
      <w:r>
        <w:rPr>
          <w:rFonts w:hint="eastAsia" w:ascii="宋体" w:hAnsi="宋体" w:cs="宋体"/>
          <w:b/>
          <w:sz w:val="24"/>
        </w:rPr>
        <w:t>一、交货时间、地点及验收方式</w:t>
      </w:r>
      <w:bookmarkEnd w:id="80"/>
      <w:bookmarkEnd w:id="81"/>
      <w:bookmarkEnd w:id="82"/>
      <w:bookmarkEnd w:id="83"/>
      <w:bookmarkEnd w:id="84"/>
      <w:bookmarkEnd w:id="85"/>
      <w:bookmarkEnd w:id="86"/>
      <w:bookmarkEnd w:id="87"/>
    </w:p>
    <w:p>
      <w:pPr>
        <w:snapToGrid w:val="0"/>
        <w:spacing w:line="360" w:lineRule="auto"/>
        <w:ind w:firstLine="360" w:firstLineChars="150"/>
        <w:outlineLvl w:val="2"/>
        <w:rPr>
          <w:rFonts w:ascii="宋体" w:hAnsi="宋体" w:cs="宋体"/>
          <w:sz w:val="24"/>
          <w:szCs w:val="24"/>
          <w:highlight w:val="none"/>
        </w:rPr>
      </w:pPr>
      <w:bookmarkStart w:id="92" w:name="_Toc26093"/>
      <w:r>
        <w:rPr>
          <w:rFonts w:hint="eastAsia" w:ascii="宋体" w:hAnsi="宋体" w:cs="宋体"/>
          <w:sz w:val="24"/>
          <w:szCs w:val="24"/>
          <w:highlight w:val="none"/>
        </w:rPr>
        <w:t>（一）交货时间</w:t>
      </w:r>
      <w:bookmarkEnd w:id="92"/>
    </w:p>
    <w:p>
      <w:pPr>
        <w:tabs>
          <w:tab w:val="left" w:pos="4905"/>
        </w:tabs>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lang w:val="en-US" w:eastAsia="zh-CN"/>
        </w:rPr>
        <w:t>2023年</w:t>
      </w:r>
      <w:r>
        <w:rPr>
          <w:rFonts w:hint="eastAsia" w:ascii="宋体" w:hAnsi="宋体" w:cs="宋体"/>
          <w:sz w:val="24"/>
          <w:szCs w:val="24"/>
          <w:highlight w:val="none"/>
        </w:rPr>
        <w:t>4月20日</w:t>
      </w:r>
      <w:r>
        <w:rPr>
          <w:rFonts w:hint="eastAsia" w:ascii="宋体" w:hAnsi="宋体" w:cs="宋体"/>
          <w:sz w:val="24"/>
          <w:szCs w:val="24"/>
          <w:highlight w:val="none"/>
          <w:lang w:eastAsia="zh-CN"/>
        </w:rPr>
        <w:t>前</w:t>
      </w:r>
      <w:r>
        <w:rPr>
          <w:rFonts w:hint="eastAsia" w:ascii="宋体" w:hAnsi="宋体" w:cs="宋体"/>
          <w:sz w:val="24"/>
          <w:szCs w:val="24"/>
          <w:highlight w:val="none"/>
        </w:rPr>
        <w:t>交货。</w:t>
      </w:r>
    </w:p>
    <w:p>
      <w:pPr>
        <w:snapToGrid w:val="0"/>
        <w:spacing w:line="360" w:lineRule="auto"/>
        <w:ind w:firstLine="360" w:firstLineChars="150"/>
        <w:outlineLvl w:val="2"/>
        <w:rPr>
          <w:rFonts w:ascii="宋体" w:hAnsi="宋体" w:cs="宋体"/>
          <w:sz w:val="24"/>
          <w:szCs w:val="24"/>
          <w:highlight w:val="none"/>
        </w:rPr>
      </w:pPr>
      <w:bookmarkStart w:id="93" w:name="_Toc4366"/>
      <w:r>
        <w:rPr>
          <w:rFonts w:hint="eastAsia" w:ascii="宋体" w:hAnsi="宋体" w:cs="宋体"/>
          <w:sz w:val="24"/>
          <w:szCs w:val="24"/>
          <w:highlight w:val="none"/>
        </w:rPr>
        <w:t>（二）交货地点</w:t>
      </w:r>
      <w:bookmarkEnd w:id="93"/>
    </w:p>
    <w:p>
      <w:pPr>
        <w:widowControl/>
        <w:spacing w:line="360" w:lineRule="auto"/>
        <w:ind w:firstLine="363"/>
        <w:rPr>
          <w:rFonts w:ascii="宋体" w:hAnsi="宋体" w:cs="宋体"/>
          <w:sz w:val="24"/>
          <w:szCs w:val="24"/>
          <w:highlight w:val="none"/>
        </w:rPr>
      </w:pPr>
      <w:r>
        <w:rPr>
          <w:rFonts w:hint="eastAsia" w:ascii="宋体" w:hAnsi="宋体" w:cs="宋体"/>
          <w:sz w:val="24"/>
          <w:szCs w:val="24"/>
          <w:highlight w:val="none"/>
        </w:rPr>
        <w:t>交货地点：重庆市渝北区黄山大道186号。</w:t>
      </w:r>
    </w:p>
    <w:p>
      <w:pPr>
        <w:widowControl/>
        <w:spacing w:line="360" w:lineRule="auto"/>
        <w:ind w:firstLine="420"/>
        <w:rPr>
          <w:rFonts w:ascii="宋体" w:hAnsi="宋体" w:cs="宋体"/>
          <w:sz w:val="24"/>
          <w:szCs w:val="24"/>
          <w:highlight w:val="none"/>
        </w:rPr>
      </w:pPr>
      <w:r>
        <w:rPr>
          <w:rFonts w:hint="eastAsia" w:ascii="宋体" w:hAnsi="宋体" w:cs="宋体"/>
          <w:sz w:val="24"/>
          <w:szCs w:val="24"/>
          <w:highlight w:val="none"/>
        </w:rPr>
        <w:t xml:space="preserve"> 备注：采购人在供应商签订合同时提供收货单位的联系人及电话。</w:t>
      </w:r>
    </w:p>
    <w:p>
      <w:pPr>
        <w:snapToGrid w:val="0"/>
        <w:spacing w:line="360" w:lineRule="auto"/>
        <w:ind w:firstLine="360" w:firstLineChars="150"/>
        <w:outlineLvl w:val="2"/>
        <w:rPr>
          <w:rFonts w:ascii="宋体" w:hAnsi="宋体" w:cs="宋体"/>
          <w:sz w:val="24"/>
          <w:szCs w:val="24"/>
        </w:rPr>
      </w:pPr>
      <w:bookmarkStart w:id="94" w:name="_Toc3374"/>
      <w:r>
        <w:rPr>
          <w:rFonts w:hint="eastAsia" w:ascii="宋体" w:hAnsi="宋体" w:cs="宋体"/>
          <w:sz w:val="24"/>
          <w:szCs w:val="24"/>
        </w:rPr>
        <w:t>（三）验收方式</w:t>
      </w:r>
      <w:bookmarkEnd w:id="94"/>
    </w:p>
    <w:p>
      <w:pPr>
        <w:spacing w:line="360" w:lineRule="auto"/>
        <w:ind w:firstLine="480" w:firstLineChars="200"/>
        <w:rPr>
          <w:rFonts w:ascii="宋体" w:hAnsi="宋体" w:cs="宋体"/>
          <w:sz w:val="24"/>
          <w:szCs w:val="24"/>
        </w:rPr>
      </w:pPr>
      <w:r>
        <w:rPr>
          <w:rFonts w:hint="eastAsia" w:ascii="宋体" w:hAnsi="宋体" w:cs="宋体"/>
          <w:sz w:val="24"/>
          <w:szCs w:val="24"/>
        </w:rPr>
        <w:t>1.货物到达现场后，供应商应经采购人或其指定验收单位清点品名、规格、数量；检查外观，作出验收记录，双方签字确认。</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2.供应商应保证货物到达用户所在地完好无损，如有缺漏、损坏，由供应商负责调换、补齐或赔偿。</w:t>
      </w:r>
    </w:p>
    <w:p>
      <w:pPr>
        <w:spacing w:line="360" w:lineRule="auto"/>
        <w:ind w:firstLine="480" w:firstLineChars="200"/>
        <w:rPr>
          <w:rFonts w:ascii="宋体" w:hAnsi="宋体" w:cs="宋体"/>
          <w:sz w:val="24"/>
          <w:szCs w:val="24"/>
        </w:rPr>
      </w:pPr>
      <w:r>
        <w:rPr>
          <w:rFonts w:hint="eastAsia" w:ascii="宋体" w:hAnsi="宋体" w:cs="宋体"/>
          <w:sz w:val="24"/>
          <w:szCs w:val="24"/>
        </w:rPr>
        <w:t>3.供应商应提供完备的技术资料、装箱单和合格证等，并派遣专业技术人员进行现场安装调试。验收合格条件如下：</w:t>
      </w:r>
    </w:p>
    <w:p>
      <w:pPr>
        <w:spacing w:line="360" w:lineRule="auto"/>
        <w:ind w:firstLine="480" w:firstLineChars="200"/>
        <w:rPr>
          <w:rFonts w:ascii="宋体" w:hAnsi="宋体" w:cs="宋体"/>
          <w:sz w:val="24"/>
          <w:szCs w:val="24"/>
        </w:rPr>
      </w:pPr>
      <w:r>
        <w:rPr>
          <w:rFonts w:hint="eastAsia" w:ascii="宋体" w:hAnsi="宋体" w:cs="宋体"/>
          <w:sz w:val="24"/>
          <w:szCs w:val="24"/>
        </w:rPr>
        <w:t>3.1设备品种、规格、数量、技术参数以及商品品牌、制造商等与采购合同一致，性能指标达到规定的标准。</w:t>
      </w:r>
    </w:p>
    <w:p>
      <w:pPr>
        <w:spacing w:line="360" w:lineRule="auto"/>
        <w:ind w:firstLine="480" w:firstLineChars="200"/>
        <w:rPr>
          <w:rFonts w:ascii="宋体" w:hAnsi="宋体" w:cs="宋体"/>
          <w:sz w:val="24"/>
          <w:szCs w:val="24"/>
        </w:rPr>
      </w:pPr>
      <w:r>
        <w:rPr>
          <w:rFonts w:hint="eastAsia" w:ascii="宋体" w:hAnsi="宋体" w:cs="宋体"/>
          <w:sz w:val="24"/>
          <w:szCs w:val="24"/>
        </w:rPr>
        <w:t>3.2货物技术资料、装箱单、合格证等资料齐全。</w:t>
      </w:r>
    </w:p>
    <w:p>
      <w:pPr>
        <w:spacing w:line="360" w:lineRule="auto"/>
        <w:ind w:firstLine="480" w:firstLineChars="200"/>
        <w:rPr>
          <w:rFonts w:ascii="宋体" w:hAnsi="宋体" w:cs="宋体"/>
          <w:sz w:val="24"/>
          <w:szCs w:val="24"/>
        </w:rPr>
      </w:pPr>
      <w:r>
        <w:rPr>
          <w:rFonts w:hint="eastAsia" w:ascii="宋体" w:hAnsi="宋体" w:cs="宋体"/>
          <w:sz w:val="24"/>
          <w:szCs w:val="24"/>
        </w:rPr>
        <w:t>3.3在规定时间内完成交货并验收，并经采购人确认。</w:t>
      </w:r>
    </w:p>
    <w:p>
      <w:pPr>
        <w:spacing w:line="360" w:lineRule="auto"/>
        <w:ind w:firstLine="480" w:firstLineChars="200"/>
        <w:rPr>
          <w:rFonts w:ascii="宋体" w:hAnsi="宋体" w:cs="宋体"/>
          <w:sz w:val="24"/>
          <w:szCs w:val="24"/>
        </w:rPr>
      </w:pPr>
      <w:r>
        <w:rPr>
          <w:rFonts w:hint="eastAsia" w:ascii="宋体" w:hAnsi="宋体" w:cs="宋体"/>
          <w:sz w:val="24"/>
          <w:szCs w:val="24"/>
        </w:rPr>
        <w:t>4.供应商提供的货物未达到询价通知书规定要求，且对采购人造成损失的，由供应商承担一切责任，并赔偿所造成的损失。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5.大型或者复杂的政府采购产品项目，采购人可邀请国家认可的质量检测机构参加验收工作。</w:t>
      </w:r>
    </w:p>
    <w:p>
      <w:pPr>
        <w:spacing w:line="360" w:lineRule="auto"/>
        <w:ind w:firstLine="480" w:firstLineChars="200"/>
        <w:rPr>
          <w:rFonts w:ascii="宋体" w:hAnsi="宋体" w:cs="宋体"/>
          <w:sz w:val="24"/>
          <w:szCs w:val="24"/>
        </w:rPr>
      </w:pPr>
      <w:r>
        <w:rPr>
          <w:rFonts w:hint="eastAsia" w:ascii="宋体" w:hAnsi="宋体" w:cs="宋体"/>
          <w:sz w:val="24"/>
          <w:szCs w:val="24"/>
        </w:rPr>
        <w:t>6.采购人需要制造商对成交供应商交付的产品（包括质量、技术参数等）进行确认的，制造商应予以配合，并出具书面意见。</w:t>
      </w:r>
    </w:p>
    <w:p>
      <w:pPr>
        <w:spacing w:line="360" w:lineRule="auto"/>
        <w:ind w:firstLine="480" w:firstLineChars="200"/>
        <w:rPr>
          <w:rFonts w:ascii="宋体" w:hAnsi="宋体" w:cs="宋体"/>
          <w:sz w:val="24"/>
          <w:szCs w:val="24"/>
        </w:rPr>
      </w:pPr>
      <w:r>
        <w:rPr>
          <w:rFonts w:hint="eastAsia" w:ascii="宋体" w:hAnsi="宋体" w:cs="宋体"/>
          <w:sz w:val="24"/>
          <w:szCs w:val="24"/>
        </w:rPr>
        <w:t>7.产品包装材料归采购人所有。</w:t>
      </w:r>
    </w:p>
    <w:p>
      <w:pPr>
        <w:keepNext/>
        <w:keepLines/>
        <w:adjustRightInd w:val="0"/>
        <w:snapToGrid w:val="0"/>
        <w:spacing w:line="360" w:lineRule="auto"/>
        <w:ind w:firstLine="482" w:firstLineChars="200"/>
        <w:outlineLvl w:val="1"/>
        <w:rPr>
          <w:rFonts w:ascii="宋体" w:hAnsi="宋体" w:cs="宋体"/>
          <w:b/>
          <w:sz w:val="24"/>
        </w:rPr>
      </w:pPr>
      <w:bookmarkStart w:id="95" w:name="_Toc65660343"/>
      <w:bookmarkStart w:id="96" w:name="_Toc1838"/>
      <w:bookmarkStart w:id="97" w:name="_Toc17347"/>
      <w:bookmarkStart w:id="98" w:name="_Toc24110"/>
      <w:bookmarkStart w:id="99" w:name="_Toc116294843"/>
      <w:bookmarkStart w:id="100" w:name="_Toc8103"/>
      <w:bookmarkStart w:id="101" w:name="_Toc9010"/>
      <w:bookmarkStart w:id="102" w:name="_Toc2747"/>
      <w:r>
        <w:rPr>
          <w:rFonts w:hint="eastAsia" w:ascii="宋体" w:hAnsi="宋体" w:cs="宋体"/>
          <w:b/>
          <w:sz w:val="24"/>
        </w:rPr>
        <w:t>二、质量保证及售后服务</w:t>
      </w:r>
      <w:bookmarkEnd w:id="95"/>
      <w:bookmarkEnd w:id="96"/>
      <w:bookmarkEnd w:id="97"/>
      <w:bookmarkEnd w:id="98"/>
      <w:bookmarkEnd w:id="99"/>
      <w:bookmarkEnd w:id="100"/>
      <w:bookmarkEnd w:id="101"/>
      <w:bookmarkEnd w:id="102"/>
    </w:p>
    <w:p>
      <w:pPr>
        <w:spacing w:line="360" w:lineRule="auto"/>
        <w:ind w:firstLine="480" w:firstLineChars="200"/>
        <w:rPr>
          <w:rFonts w:ascii="宋体" w:hAnsi="宋体" w:cs="宋体"/>
          <w:sz w:val="24"/>
          <w:szCs w:val="24"/>
        </w:rPr>
      </w:pPr>
      <w:r>
        <w:rPr>
          <w:rFonts w:hint="eastAsia" w:ascii="宋体" w:hAnsi="宋体" w:cs="宋体"/>
          <w:sz w:val="24"/>
          <w:szCs w:val="24"/>
        </w:rPr>
        <w:t>（一）产品质量保证期：自验收合格之日起，提供一年的免费质保期。</w:t>
      </w:r>
    </w:p>
    <w:p>
      <w:pPr>
        <w:spacing w:line="360" w:lineRule="auto"/>
        <w:ind w:firstLine="480" w:firstLineChars="200"/>
        <w:rPr>
          <w:rFonts w:ascii="宋体" w:hAnsi="宋体" w:cs="宋体"/>
          <w:sz w:val="24"/>
          <w:szCs w:val="24"/>
        </w:rPr>
      </w:pPr>
      <w:r>
        <w:rPr>
          <w:rFonts w:hint="eastAsia" w:ascii="宋体" w:hAnsi="宋体" w:cs="宋体"/>
          <w:sz w:val="24"/>
          <w:szCs w:val="24"/>
        </w:rPr>
        <w:t>（二）售后服务内容</w:t>
      </w:r>
    </w:p>
    <w:p>
      <w:pPr>
        <w:spacing w:line="360" w:lineRule="auto"/>
        <w:ind w:firstLine="480" w:firstLineChars="200"/>
        <w:rPr>
          <w:rFonts w:ascii="宋体" w:hAnsi="宋体" w:cs="宋体"/>
          <w:sz w:val="24"/>
          <w:szCs w:val="24"/>
        </w:rPr>
      </w:pPr>
      <w:r>
        <w:rPr>
          <w:rFonts w:hint="eastAsia" w:ascii="宋体" w:hAnsi="宋体" w:cs="宋体"/>
          <w:sz w:val="24"/>
          <w:szCs w:val="24"/>
        </w:rPr>
        <w:t>供应商在质量保证期内应当为采购人提供以下技术支持服务：</w:t>
      </w:r>
    </w:p>
    <w:p>
      <w:pPr>
        <w:spacing w:line="360" w:lineRule="auto"/>
        <w:ind w:firstLine="480" w:firstLineChars="200"/>
        <w:outlineLvl w:val="2"/>
        <w:rPr>
          <w:rFonts w:ascii="宋体" w:hAnsi="宋体" w:cs="宋体"/>
          <w:sz w:val="24"/>
          <w:szCs w:val="24"/>
        </w:rPr>
      </w:pPr>
      <w:bookmarkStart w:id="103" w:name="_Toc31020"/>
      <w:r>
        <w:rPr>
          <w:rFonts w:hint="eastAsia" w:ascii="宋体" w:hAnsi="宋体" w:cs="宋体"/>
          <w:sz w:val="24"/>
          <w:szCs w:val="24"/>
        </w:rPr>
        <w:t>1.质量保证期内服务要求</w:t>
      </w:r>
      <w:bookmarkEnd w:id="103"/>
    </w:p>
    <w:p>
      <w:pPr>
        <w:spacing w:line="360" w:lineRule="auto"/>
        <w:ind w:firstLine="480" w:firstLineChars="200"/>
        <w:rPr>
          <w:rFonts w:ascii="宋体" w:hAnsi="宋体" w:cs="宋体"/>
          <w:sz w:val="24"/>
          <w:szCs w:val="24"/>
        </w:rPr>
      </w:pPr>
      <w:r>
        <w:rPr>
          <w:rFonts w:hint="eastAsia" w:ascii="宋体" w:hAnsi="宋体" w:cs="宋体"/>
          <w:sz w:val="24"/>
          <w:szCs w:val="24"/>
        </w:rPr>
        <w:t>1.1电话咨询</w:t>
      </w:r>
    </w:p>
    <w:p>
      <w:pPr>
        <w:spacing w:line="360" w:lineRule="auto"/>
        <w:ind w:firstLine="480" w:firstLineChars="200"/>
        <w:rPr>
          <w:rFonts w:ascii="宋体" w:hAnsi="宋体" w:cs="宋体"/>
          <w:sz w:val="24"/>
          <w:szCs w:val="24"/>
        </w:rPr>
      </w:pPr>
      <w:r>
        <w:rPr>
          <w:rFonts w:hint="eastAsia" w:ascii="宋体" w:hAnsi="宋体" w:cs="宋体"/>
          <w:sz w:val="24"/>
          <w:szCs w:val="24"/>
        </w:rPr>
        <w:t>成交供应商应当为用户提供技术援助电话，解答用户在使用中遇到的问题，及时为用户提出解决问题的建议。</w:t>
      </w:r>
    </w:p>
    <w:p>
      <w:pPr>
        <w:spacing w:line="360" w:lineRule="auto"/>
        <w:ind w:firstLine="480" w:firstLineChars="200"/>
        <w:rPr>
          <w:rFonts w:ascii="宋体" w:hAnsi="宋体" w:cs="宋体"/>
          <w:sz w:val="24"/>
          <w:szCs w:val="24"/>
        </w:rPr>
      </w:pPr>
      <w:r>
        <w:rPr>
          <w:rFonts w:hint="eastAsia" w:ascii="宋体" w:hAnsi="宋体" w:cs="宋体"/>
          <w:sz w:val="24"/>
          <w:szCs w:val="24"/>
        </w:rPr>
        <w:t>1.2现场响应</w:t>
      </w:r>
    </w:p>
    <w:p>
      <w:pPr>
        <w:spacing w:line="360" w:lineRule="auto"/>
        <w:ind w:firstLine="480" w:firstLineChars="200"/>
        <w:rPr>
          <w:rFonts w:ascii="宋体" w:hAnsi="宋体" w:cs="宋体"/>
          <w:sz w:val="24"/>
          <w:szCs w:val="24"/>
        </w:rPr>
      </w:pPr>
      <w:r>
        <w:rPr>
          <w:rFonts w:hint="eastAsia" w:ascii="宋体" w:hAnsi="宋体" w:cs="宋体"/>
          <w:sz w:val="24"/>
          <w:szCs w:val="24"/>
        </w:rPr>
        <w:t>用户遇到使用及技术问题，电话咨询不能解决的，成交供应商应在24小时内采取相应响应措施；无法在24小时内解决的，应在48小时内派出专业人员进行技术支持。</w:t>
      </w:r>
    </w:p>
    <w:p>
      <w:pPr>
        <w:spacing w:line="360" w:lineRule="auto"/>
        <w:ind w:firstLine="480" w:firstLineChars="200"/>
        <w:rPr>
          <w:rFonts w:ascii="宋体" w:hAnsi="宋体" w:cs="宋体"/>
          <w:sz w:val="24"/>
          <w:szCs w:val="24"/>
        </w:rPr>
      </w:pPr>
      <w:r>
        <w:rPr>
          <w:rFonts w:hint="eastAsia" w:ascii="宋体" w:hAnsi="宋体" w:cs="宋体"/>
          <w:sz w:val="24"/>
          <w:szCs w:val="24"/>
        </w:rPr>
        <w:t>1.3技术升级</w:t>
      </w:r>
    </w:p>
    <w:p>
      <w:pPr>
        <w:spacing w:line="360" w:lineRule="auto"/>
        <w:ind w:firstLine="480" w:firstLineChars="200"/>
        <w:rPr>
          <w:rFonts w:ascii="宋体" w:hAnsi="宋体" w:cs="宋体"/>
          <w:sz w:val="24"/>
          <w:szCs w:val="24"/>
        </w:rPr>
      </w:pPr>
      <w:r>
        <w:rPr>
          <w:rFonts w:hint="eastAsia" w:ascii="宋体" w:hAnsi="宋体" w:cs="宋体"/>
          <w:sz w:val="24"/>
          <w:szCs w:val="24"/>
        </w:rPr>
        <w:t>在质保期内，如果成交供应商的产品技术升级，成交供应商应及时通知采购人，如采购人有相应要求，成交供应商应对采购人进行升级服务。</w:t>
      </w:r>
    </w:p>
    <w:p>
      <w:pPr>
        <w:spacing w:line="360" w:lineRule="auto"/>
        <w:ind w:firstLine="480" w:firstLineChars="200"/>
        <w:outlineLvl w:val="2"/>
        <w:rPr>
          <w:rFonts w:ascii="宋体" w:hAnsi="宋体" w:cs="宋体"/>
          <w:sz w:val="24"/>
          <w:szCs w:val="24"/>
        </w:rPr>
      </w:pPr>
      <w:bookmarkStart w:id="104" w:name="_Toc18849"/>
      <w:r>
        <w:rPr>
          <w:rFonts w:hint="eastAsia" w:ascii="宋体" w:hAnsi="宋体" w:cs="宋体"/>
          <w:sz w:val="24"/>
          <w:szCs w:val="24"/>
        </w:rPr>
        <w:t>2.质保期外服务要求</w:t>
      </w:r>
      <w:bookmarkEnd w:id="104"/>
    </w:p>
    <w:p>
      <w:pPr>
        <w:spacing w:line="360" w:lineRule="auto"/>
        <w:ind w:firstLine="480" w:firstLineChars="200"/>
        <w:rPr>
          <w:rFonts w:ascii="宋体" w:hAnsi="宋体" w:cs="宋体"/>
          <w:sz w:val="24"/>
          <w:szCs w:val="24"/>
        </w:rPr>
      </w:pPr>
      <w:r>
        <w:rPr>
          <w:rFonts w:hint="eastAsia" w:ascii="宋体" w:hAnsi="宋体" w:cs="宋体"/>
          <w:sz w:val="24"/>
          <w:szCs w:val="24"/>
        </w:rPr>
        <w:t>2.1质量保证期过后，成交供应商应同样提供免费电话咨询服务，并应承诺提供产品上门维护服务。</w:t>
      </w:r>
    </w:p>
    <w:p>
      <w:pPr>
        <w:spacing w:line="360" w:lineRule="auto"/>
        <w:ind w:firstLine="480" w:firstLineChars="200"/>
        <w:rPr>
          <w:rFonts w:ascii="宋体" w:hAnsi="宋体" w:cs="宋体"/>
          <w:sz w:val="24"/>
          <w:szCs w:val="24"/>
        </w:rPr>
      </w:pPr>
      <w:r>
        <w:rPr>
          <w:rFonts w:hint="eastAsia" w:ascii="宋体" w:hAnsi="宋体" w:cs="宋体"/>
          <w:sz w:val="24"/>
          <w:szCs w:val="24"/>
        </w:rPr>
        <w:t>2.2质量保证期过后，采购人需要继续由原成交供应商提供售后服务的，成交供应商应以优惠价格提供售后服务。</w:t>
      </w:r>
    </w:p>
    <w:p>
      <w:pPr>
        <w:keepNext/>
        <w:keepLines/>
        <w:adjustRightInd w:val="0"/>
        <w:snapToGrid w:val="0"/>
        <w:spacing w:line="360" w:lineRule="auto"/>
        <w:ind w:firstLine="482" w:firstLineChars="200"/>
        <w:outlineLvl w:val="1"/>
        <w:rPr>
          <w:rFonts w:ascii="宋体" w:hAnsi="宋体" w:cs="宋体"/>
          <w:b/>
          <w:sz w:val="24"/>
        </w:rPr>
      </w:pPr>
      <w:bookmarkStart w:id="105" w:name="_Toc15668"/>
      <w:bookmarkStart w:id="106" w:name="_Toc31491"/>
      <w:bookmarkStart w:id="107" w:name="_Toc122"/>
      <w:bookmarkStart w:id="108" w:name="_Toc65660344"/>
      <w:bookmarkStart w:id="109" w:name="_Toc20934"/>
      <w:bookmarkStart w:id="110" w:name="_Toc116294844"/>
      <w:bookmarkStart w:id="111" w:name="_Toc16974"/>
      <w:bookmarkStart w:id="112" w:name="_Toc12184"/>
      <w:r>
        <w:rPr>
          <w:rFonts w:hint="eastAsia" w:ascii="宋体" w:hAnsi="宋体" w:cs="宋体"/>
          <w:b/>
          <w:sz w:val="24"/>
        </w:rPr>
        <w:t>三、报价要求</w:t>
      </w:r>
      <w:bookmarkEnd w:id="105"/>
      <w:bookmarkEnd w:id="106"/>
      <w:bookmarkEnd w:id="107"/>
      <w:bookmarkEnd w:id="108"/>
      <w:bookmarkEnd w:id="109"/>
      <w:bookmarkEnd w:id="110"/>
      <w:bookmarkEnd w:id="111"/>
      <w:bookmarkEnd w:id="112"/>
    </w:p>
    <w:p>
      <w:pPr>
        <w:snapToGrid w:val="0"/>
        <w:spacing w:line="360" w:lineRule="auto"/>
        <w:ind w:firstLine="480" w:firstLineChars="200"/>
        <w:rPr>
          <w:rFonts w:ascii="宋体" w:hAnsi="宋体" w:cs="宋体"/>
          <w:sz w:val="21"/>
          <w:szCs w:val="21"/>
        </w:rPr>
      </w:pPr>
      <w:r>
        <w:rPr>
          <w:rFonts w:hint="eastAsia" w:ascii="宋体" w:hAnsi="宋体" w:cs="宋体"/>
          <w:sz w:val="24"/>
          <w:szCs w:val="24"/>
        </w:rPr>
        <w:t>报价</w:t>
      </w:r>
      <w:r>
        <w:rPr>
          <w:rFonts w:hint="eastAsia" w:ascii="宋体" w:hAnsi="宋体" w:cs="宋体"/>
          <w:kern w:val="0"/>
          <w:sz w:val="24"/>
          <w:szCs w:val="24"/>
        </w:rPr>
        <w:t>须为人民币报价，供应商按照询价通知书的规定一次报出不得更改的价格。包括（但不限于）完成本项目所需的：货物费、运输费、装卸费、培训费、保险费、税费（含关税）等所有费用。因成交供应商自身原因造成漏报、少报皆由其自行承担责任，采购人不再补偿。</w:t>
      </w:r>
    </w:p>
    <w:p>
      <w:pPr>
        <w:keepNext/>
        <w:keepLines/>
        <w:adjustRightInd w:val="0"/>
        <w:snapToGrid w:val="0"/>
        <w:spacing w:line="360" w:lineRule="auto"/>
        <w:ind w:firstLine="482" w:firstLineChars="200"/>
        <w:outlineLvl w:val="1"/>
        <w:rPr>
          <w:rFonts w:ascii="宋体" w:hAnsi="宋体" w:cs="宋体"/>
          <w:b/>
          <w:sz w:val="24"/>
        </w:rPr>
      </w:pPr>
      <w:bookmarkStart w:id="113" w:name="_Toc9192"/>
      <w:bookmarkStart w:id="114" w:name="_Toc22957"/>
      <w:bookmarkStart w:id="115" w:name="_Toc15039"/>
      <w:bookmarkStart w:id="116" w:name="_Toc116294845"/>
      <w:bookmarkStart w:id="117" w:name="_Toc26811"/>
      <w:bookmarkStart w:id="118" w:name="_Toc65660345"/>
      <w:bookmarkStart w:id="119" w:name="_Toc7562"/>
      <w:bookmarkStart w:id="120" w:name="_Toc11000"/>
      <w:r>
        <w:rPr>
          <w:rFonts w:hint="eastAsia" w:ascii="宋体" w:hAnsi="宋体" w:cs="宋体"/>
          <w:b/>
          <w:sz w:val="24"/>
        </w:rPr>
        <w:t>四、付款方式</w:t>
      </w:r>
      <w:bookmarkEnd w:id="113"/>
      <w:bookmarkEnd w:id="114"/>
      <w:bookmarkEnd w:id="115"/>
      <w:bookmarkEnd w:id="116"/>
      <w:bookmarkEnd w:id="117"/>
      <w:bookmarkEnd w:id="118"/>
      <w:bookmarkEnd w:id="119"/>
      <w:bookmarkEnd w:id="120"/>
    </w:p>
    <w:p>
      <w:pPr>
        <w:spacing w:line="360" w:lineRule="auto"/>
        <w:ind w:firstLine="480" w:firstLineChars="200"/>
        <w:rPr>
          <w:rFonts w:ascii="宋体" w:hAnsi="宋体" w:cs="宋体"/>
          <w:sz w:val="24"/>
          <w:szCs w:val="24"/>
        </w:rPr>
      </w:pPr>
      <w:r>
        <w:rPr>
          <w:rFonts w:hint="eastAsia" w:ascii="宋体" w:hAnsi="宋体" w:cs="宋体"/>
          <w:kern w:val="0"/>
          <w:sz w:val="24"/>
          <w:szCs w:val="24"/>
        </w:rPr>
        <w:t>交货并通过验收后，开具全额发票由重庆市柑橘产业协会转账支付款给供货单位。（对有产品质量疑问的，需要检测合格后付款）</w:t>
      </w:r>
    </w:p>
    <w:p>
      <w:pPr>
        <w:keepNext/>
        <w:keepLines/>
        <w:adjustRightInd w:val="0"/>
        <w:snapToGrid w:val="0"/>
        <w:spacing w:line="360" w:lineRule="auto"/>
        <w:ind w:firstLine="482" w:firstLineChars="200"/>
        <w:outlineLvl w:val="1"/>
        <w:rPr>
          <w:rFonts w:ascii="宋体" w:hAnsi="宋体" w:cs="宋体"/>
          <w:b/>
          <w:sz w:val="24"/>
        </w:rPr>
      </w:pPr>
      <w:bookmarkStart w:id="121" w:name="_Toc65660346"/>
      <w:bookmarkStart w:id="122" w:name="_Toc29131"/>
      <w:bookmarkStart w:id="123" w:name="_Toc24751"/>
      <w:bookmarkStart w:id="124" w:name="_Toc7228"/>
      <w:bookmarkStart w:id="125" w:name="_Toc116294846"/>
      <w:bookmarkStart w:id="126" w:name="_Toc6359"/>
      <w:bookmarkStart w:id="127" w:name="_Toc26883"/>
      <w:bookmarkStart w:id="128" w:name="_Toc3786"/>
      <w:r>
        <w:rPr>
          <w:rFonts w:hint="eastAsia" w:ascii="宋体" w:hAnsi="宋体" w:cs="宋体"/>
          <w:b/>
          <w:sz w:val="24"/>
        </w:rPr>
        <w:t>五、知识产权</w:t>
      </w:r>
      <w:bookmarkEnd w:id="121"/>
      <w:bookmarkEnd w:id="122"/>
      <w:bookmarkEnd w:id="123"/>
      <w:bookmarkEnd w:id="124"/>
      <w:bookmarkEnd w:id="125"/>
      <w:bookmarkEnd w:id="126"/>
      <w:bookmarkEnd w:id="127"/>
      <w:bookmarkEnd w:id="128"/>
    </w:p>
    <w:p>
      <w:pPr>
        <w:snapToGrid w:val="0"/>
        <w:spacing w:line="360" w:lineRule="auto"/>
        <w:ind w:firstLine="540"/>
        <w:rPr>
          <w:rFonts w:ascii="宋体" w:hAnsi="宋体" w:cs="宋体"/>
          <w:sz w:val="24"/>
          <w:szCs w:val="24"/>
        </w:rPr>
      </w:pPr>
      <w:r>
        <w:rPr>
          <w:rFonts w:hint="eastAsia" w:ascii="宋体" w:hAnsi="宋体" w:cs="宋体"/>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keepNext/>
        <w:keepLines/>
        <w:adjustRightInd w:val="0"/>
        <w:snapToGrid w:val="0"/>
        <w:spacing w:line="360" w:lineRule="auto"/>
        <w:ind w:firstLine="482" w:firstLineChars="200"/>
        <w:outlineLvl w:val="1"/>
        <w:rPr>
          <w:rFonts w:ascii="宋体" w:hAnsi="宋体" w:cs="宋体"/>
          <w:b/>
          <w:sz w:val="24"/>
        </w:rPr>
      </w:pPr>
      <w:bookmarkStart w:id="129" w:name="_Toc65660347"/>
      <w:bookmarkStart w:id="130" w:name="_Toc5555"/>
      <w:bookmarkStart w:id="131" w:name="_Toc16806"/>
      <w:bookmarkStart w:id="132" w:name="_Toc19312"/>
      <w:bookmarkStart w:id="133" w:name="_Toc6565"/>
      <w:bookmarkStart w:id="134" w:name="_Toc6869"/>
      <w:bookmarkStart w:id="135" w:name="_Toc116294847"/>
      <w:bookmarkStart w:id="136" w:name="_Toc21549"/>
      <w:r>
        <w:rPr>
          <w:rFonts w:hint="eastAsia" w:ascii="宋体" w:hAnsi="宋体" w:cs="宋体"/>
          <w:b/>
          <w:sz w:val="24"/>
        </w:rPr>
        <w:t>六、培训</w:t>
      </w:r>
      <w:bookmarkEnd w:id="129"/>
      <w:bookmarkEnd w:id="130"/>
      <w:bookmarkEnd w:id="131"/>
      <w:bookmarkEnd w:id="132"/>
      <w:bookmarkEnd w:id="133"/>
      <w:bookmarkEnd w:id="134"/>
      <w:bookmarkEnd w:id="135"/>
      <w:bookmarkEnd w:id="136"/>
    </w:p>
    <w:p>
      <w:pPr>
        <w:snapToGrid w:val="0"/>
        <w:spacing w:line="360" w:lineRule="auto"/>
        <w:ind w:firstLine="540"/>
        <w:rPr>
          <w:rFonts w:ascii="宋体" w:hAnsi="宋体" w:cs="宋体"/>
          <w:sz w:val="24"/>
          <w:szCs w:val="24"/>
        </w:rPr>
      </w:pPr>
      <w:r>
        <w:rPr>
          <w:rFonts w:hint="eastAsia" w:ascii="宋体" w:hAnsi="宋体" w:cs="宋体"/>
          <w:sz w:val="24"/>
          <w:szCs w:val="24"/>
        </w:rPr>
        <w:t>成交供应商须提供对产品的操作培训，使相关使用人员能够正常操作使用。</w:t>
      </w:r>
    </w:p>
    <w:p>
      <w:pPr>
        <w:keepNext/>
        <w:keepLines/>
        <w:adjustRightInd w:val="0"/>
        <w:snapToGrid w:val="0"/>
        <w:spacing w:line="360" w:lineRule="auto"/>
        <w:ind w:firstLine="482" w:firstLineChars="200"/>
        <w:outlineLvl w:val="1"/>
        <w:rPr>
          <w:rFonts w:ascii="宋体" w:hAnsi="宋体" w:cs="宋体"/>
          <w:b/>
          <w:sz w:val="24"/>
        </w:rPr>
      </w:pPr>
      <w:bookmarkStart w:id="137" w:name="_Toc30409"/>
      <w:bookmarkStart w:id="138" w:name="_Toc65660348"/>
      <w:bookmarkStart w:id="139" w:name="_Toc116294848"/>
      <w:bookmarkStart w:id="140" w:name="_Toc27906"/>
      <w:bookmarkStart w:id="141" w:name="_Toc23902"/>
      <w:bookmarkStart w:id="142" w:name="_Toc15908"/>
      <w:bookmarkStart w:id="143" w:name="_Toc31659"/>
      <w:bookmarkStart w:id="144" w:name="_Toc21248"/>
      <w:r>
        <w:rPr>
          <w:rFonts w:hint="eastAsia" w:ascii="宋体" w:hAnsi="宋体" w:cs="宋体"/>
          <w:b/>
          <w:sz w:val="24"/>
        </w:rPr>
        <w:t>七、其他</w:t>
      </w:r>
      <w:bookmarkEnd w:id="137"/>
      <w:bookmarkEnd w:id="138"/>
      <w:bookmarkEnd w:id="139"/>
      <w:bookmarkEnd w:id="140"/>
      <w:bookmarkEnd w:id="141"/>
      <w:bookmarkEnd w:id="142"/>
      <w:bookmarkEnd w:id="143"/>
      <w:bookmarkEnd w:id="144"/>
    </w:p>
    <w:p>
      <w:pPr>
        <w:snapToGrid w:val="0"/>
        <w:spacing w:line="360" w:lineRule="auto"/>
        <w:ind w:firstLine="540"/>
        <w:rPr>
          <w:rFonts w:ascii="宋体" w:hAnsi="宋体" w:cs="宋体"/>
          <w:sz w:val="22"/>
          <w:szCs w:val="22"/>
        </w:rPr>
      </w:pPr>
      <w:r>
        <w:rPr>
          <w:rFonts w:hint="eastAsia" w:ascii="宋体" w:hAnsi="宋体" w:cs="宋体"/>
          <w:sz w:val="24"/>
          <w:szCs w:val="24"/>
        </w:rPr>
        <w:t>（如果有）</w:t>
      </w:r>
    </w:p>
    <w:p>
      <w:pPr>
        <w:pStyle w:val="278"/>
        <w:numPr>
          <w:ilvl w:val="0"/>
          <w:numId w:val="1"/>
        </w:numPr>
        <w:spacing w:line="360" w:lineRule="auto"/>
        <w:ind w:firstLineChars="0"/>
        <w:rPr>
          <w:rFonts w:ascii="宋体" w:hAnsi="宋体" w:cs="宋体"/>
          <w:b/>
          <w:bCs/>
          <w:kern w:val="0"/>
          <w:sz w:val="36"/>
          <w:szCs w:val="36"/>
        </w:rPr>
        <w:sectPr>
          <w:footerReference r:id="rId11" w:type="default"/>
          <w:pgSz w:w="11906" w:h="16838"/>
          <w:pgMar w:top="1134" w:right="1191" w:bottom="1134" w:left="1304" w:header="851" w:footer="992" w:gutter="0"/>
          <w:pgNumType w:fmt="numberInDash"/>
          <w:cols w:space="0" w:num="1"/>
          <w:docGrid w:linePitch="381" w:charSpace="0"/>
        </w:sectPr>
      </w:pPr>
      <w:r>
        <w:rPr>
          <w:rFonts w:hint="eastAsia" w:ascii="宋体" w:hAnsi="宋体" w:cs="宋体"/>
          <w:b/>
          <w:bCs/>
          <w:kern w:val="0"/>
          <w:sz w:val="36"/>
          <w:szCs w:val="36"/>
        </w:rPr>
        <w:br w:type="page"/>
      </w:r>
    </w:p>
    <w:bookmarkEnd w:id="88"/>
    <w:bookmarkEnd w:id="89"/>
    <w:bookmarkEnd w:id="90"/>
    <w:bookmarkEnd w:id="91"/>
    <w:p>
      <w:pPr>
        <w:pStyle w:val="5"/>
        <w:spacing w:before="0" w:after="0" w:line="360" w:lineRule="auto"/>
        <w:jc w:val="center"/>
        <w:rPr>
          <w:rFonts w:ascii="宋体" w:hAnsi="宋体" w:eastAsia="宋体" w:cs="宋体"/>
          <w:bCs/>
          <w:sz w:val="44"/>
          <w:szCs w:val="44"/>
        </w:rPr>
      </w:pPr>
      <w:bookmarkStart w:id="145" w:name="_Toc23397"/>
      <w:bookmarkStart w:id="146" w:name="_Toc65660349"/>
      <w:bookmarkStart w:id="147" w:name="_Toc22269"/>
      <w:bookmarkStart w:id="148" w:name="_Toc26571"/>
      <w:bookmarkStart w:id="149" w:name="_Toc5592"/>
      <w:bookmarkStart w:id="150" w:name="_Toc17925"/>
      <w:bookmarkStart w:id="151" w:name="_Toc24195"/>
      <w:bookmarkStart w:id="152" w:name="_Toc4137"/>
      <w:bookmarkStart w:id="153" w:name="_Toc8941"/>
      <w:bookmarkStart w:id="154" w:name="_Toc116294849"/>
      <w:bookmarkStart w:id="155" w:name="_Toc11576"/>
      <w:bookmarkStart w:id="156" w:name="_Toc11534"/>
      <w:bookmarkStart w:id="157" w:name="_Toc31282"/>
      <w:bookmarkStart w:id="158" w:name="_Toc26753"/>
      <w:bookmarkStart w:id="159" w:name="_Toc16123"/>
      <w:bookmarkStart w:id="160" w:name="_Toc12789072"/>
      <w:bookmarkStart w:id="161" w:name="_Toc487204796"/>
      <w:r>
        <w:rPr>
          <w:rFonts w:hint="eastAsia" w:ascii="宋体" w:hAnsi="宋体" w:eastAsia="宋体" w:cs="宋体"/>
          <w:bCs/>
          <w:sz w:val="36"/>
          <w:szCs w:val="36"/>
        </w:rPr>
        <w:t>第四篇  采购程序、评定成交的标准、无效报价及采购终止</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5"/>
        <w:adjustRightInd w:val="0"/>
        <w:snapToGrid w:val="0"/>
        <w:spacing w:before="0" w:after="0" w:line="360" w:lineRule="auto"/>
        <w:ind w:firstLine="482" w:firstLineChars="200"/>
        <w:rPr>
          <w:rFonts w:ascii="宋体" w:hAnsi="宋体" w:eastAsia="宋体" w:cs="宋体"/>
          <w:sz w:val="24"/>
        </w:rPr>
      </w:pPr>
      <w:bookmarkStart w:id="162" w:name="_Toc116294850"/>
      <w:bookmarkStart w:id="163" w:name="_Toc27932"/>
      <w:bookmarkStart w:id="164" w:name="_Toc7599"/>
      <w:bookmarkStart w:id="165" w:name="_Toc64732012"/>
      <w:bookmarkStart w:id="166" w:name="_Toc2658"/>
      <w:bookmarkStart w:id="167" w:name="_Toc11341"/>
      <w:bookmarkStart w:id="168" w:name="_Toc1128"/>
      <w:bookmarkStart w:id="169" w:name="_Toc17958"/>
      <w:bookmarkStart w:id="170" w:name="_Toc5167"/>
      <w:bookmarkStart w:id="171" w:name="_Toc10692"/>
      <w:bookmarkStart w:id="172" w:name="_Toc1034"/>
      <w:bookmarkStart w:id="173" w:name="_Toc9361"/>
      <w:bookmarkStart w:id="174" w:name="_Toc13093"/>
      <w:bookmarkStart w:id="175" w:name="_Toc65660350"/>
      <w:bookmarkStart w:id="176" w:name="_Toc2724"/>
      <w:bookmarkStart w:id="177" w:name="_Toc6105"/>
      <w:r>
        <w:rPr>
          <w:rFonts w:hint="eastAsia" w:ascii="宋体" w:hAnsi="宋体" w:eastAsia="宋体" w:cs="宋体"/>
          <w:sz w:val="24"/>
        </w:rPr>
        <w:t>一、采购程序</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34"/>
        <w:spacing w:line="360" w:lineRule="auto"/>
        <w:ind w:firstLine="480" w:firstLineChars="200"/>
        <w:rPr>
          <w:rFonts w:ascii="宋体" w:hAnsi="宋体" w:cs="宋体"/>
          <w:sz w:val="24"/>
          <w:szCs w:val="24"/>
        </w:rPr>
      </w:pPr>
      <w:r>
        <w:rPr>
          <w:rFonts w:hint="eastAsia" w:ascii="宋体" w:hAnsi="宋体" w:cs="宋体"/>
          <w:sz w:val="24"/>
          <w:szCs w:val="24"/>
        </w:rPr>
        <w:t>（一）询价按询价通知书规定的时间和地点进行。</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 xml:space="preserve">（二）由本项目询价小组对各供应商的资格条件、实质性响应等进行审查。 </w:t>
      </w:r>
    </w:p>
    <w:p>
      <w:pPr>
        <w:snapToGrid w:val="0"/>
        <w:spacing w:line="360" w:lineRule="auto"/>
        <w:ind w:firstLine="480" w:firstLineChars="200"/>
        <w:rPr>
          <w:rFonts w:ascii="宋体" w:hAnsi="宋体" w:cs="宋体"/>
          <w:kern w:val="0"/>
          <w:sz w:val="24"/>
          <w:szCs w:val="24"/>
        </w:rPr>
      </w:pPr>
      <w:r>
        <w:rPr>
          <w:rFonts w:hint="eastAsia" w:ascii="宋体" w:hAnsi="宋体" w:cs="宋体"/>
          <w:sz w:val="24"/>
          <w:szCs w:val="24"/>
        </w:rPr>
        <w:t>1.资格性审查。依据法律法规和询价通知书的规定，对响应文件中的资格证明材料、保证金等进行审查。资格性审查内容如下：</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ign w:val="center"/>
          </w:tcPr>
          <w:p>
            <w:pPr>
              <w:spacing w:line="360" w:lineRule="auto"/>
              <w:jc w:val="center"/>
              <w:rPr>
                <w:rFonts w:ascii="宋体" w:hAnsi="宋体" w:cs="宋体"/>
                <w:sz w:val="21"/>
                <w:szCs w:val="21"/>
              </w:rPr>
            </w:pPr>
            <w:r>
              <w:rPr>
                <w:rFonts w:hint="eastAsia" w:ascii="宋体" w:hAnsi="宋体" w:cs="宋体"/>
                <w:sz w:val="21"/>
                <w:szCs w:val="21"/>
              </w:rPr>
              <w:t>（一）</w:t>
            </w:r>
          </w:p>
        </w:tc>
        <w:tc>
          <w:tcPr>
            <w:tcW w:w="709" w:type="dxa"/>
            <w:vMerge w:val="restart"/>
            <w:noWrap/>
            <w:vAlign w:val="center"/>
          </w:tcPr>
          <w:p>
            <w:pPr>
              <w:spacing w:line="360" w:lineRule="auto"/>
              <w:rPr>
                <w:rFonts w:ascii="宋体" w:hAnsi="宋体" w:cs="宋体"/>
                <w:sz w:val="21"/>
                <w:szCs w:val="21"/>
                <w:lang w:val="zh-CN"/>
              </w:rPr>
            </w:pPr>
            <w:r>
              <w:rPr>
                <w:rFonts w:hint="eastAsia" w:ascii="宋体" w:hAnsi="宋体" w:cs="宋体"/>
                <w:sz w:val="21"/>
                <w:szCs w:val="21"/>
                <w:lang w:val="zh-CN"/>
              </w:rPr>
              <w:t>《中华人民共和国政府采购法》第二十二条规定</w:t>
            </w:r>
          </w:p>
        </w:tc>
        <w:tc>
          <w:tcPr>
            <w:tcW w:w="2835" w:type="dxa"/>
            <w:noWrap/>
            <w:vAlign w:val="center"/>
          </w:tcPr>
          <w:p>
            <w:pPr>
              <w:spacing w:line="360" w:lineRule="auto"/>
              <w:rPr>
                <w:rFonts w:ascii="宋体" w:hAnsi="宋体" w:cs="宋体"/>
                <w:sz w:val="21"/>
                <w:szCs w:val="21"/>
              </w:rPr>
            </w:pPr>
            <w:r>
              <w:rPr>
                <w:rFonts w:hint="eastAsia" w:ascii="宋体" w:hAnsi="宋体" w:cs="宋体"/>
                <w:sz w:val="21"/>
                <w:szCs w:val="21"/>
              </w:rPr>
              <w:t>1.具有独立承担民事责任的能力</w:t>
            </w:r>
          </w:p>
        </w:tc>
        <w:tc>
          <w:tcPr>
            <w:tcW w:w="5267" w:type="dxa"/>
            <w:noWrap/>
            <w:vAlign w:val="center"/>
          </w:tcPr>
          <w:p>
            <w:pPr>
              <w:spacing w:line="360" w:lineRule="auto"/>
              <w:rPr>
                <w:rFonts w:ascii="宋体" w:hAnsi="宋体" w:cs="宋体"/>
                <w:sz w:val="21"/>
                <w:szCs w:val="21"/>
              </w:rPr>
            </w:pPr>
            <w:r>
              <w:rPr>
                <w:rFonts w:hint="eastAsia" w:ascii="宋体" w:hAnsi="宋体" w:cs="宋体"/>
                <w:sz w:val="21"/>
                <w:szCs w:val="21"/>
              </w:rPr>
              <w:t xml:space="preserve">1.供应商法人营业执照（副本）或事业单位法人证书（副本）或个体工商户营业执照或有效的自然人身份证明或社会团体法人登记证书（提供复印件）。 </w:t>
            </w:r>
          </w:p>
          <w:p>
            <w:pPr>
              <w:spacing w:line="360" w:lineRule="auto"/>
              <w:rPr>
                <w:rFonts w:ascii="宋体" w:hAnsi="宋体" w:cs="宋体"/>
                <w:sz w:val="21"/>
                <w:szCs w:val="21"/>
              </w:rPr>
            </w:pPr>
            <w:r>
              <w:rPr>
                <w:rFonts w:hint="eastAsia" w:ascii="宋体" w:hAnsi="宋体" w:cs="宋体"/>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lang w:val="zh-CN"/>
              </w:rPr>
            </w:pPr>
          </w:p>
        </w:tc>
        <w:tc>
          <w:tcPr>
            <w:tcW w:w="2835" w:type="dxa"/>
            <w:noWrap/>
            <w:vAlign w:val="center"/>
          </w:tcPr>
          <w:p>
            <w:pPr>
              <w:spacing w:line="360" w:lineRule="auto"/>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5267" w:type="dxa"/>
            <w:vMerge w:val="restart"/>
            <w:noWrap/>
            <w:vAlign w:val="center"/>
          </w:tcPr>
          <w:p>
            <w:pPr>
              <w:spacing w:line="360" w:lineRule="auto"/>
              <w:rPr>
                <w:rFonts w:ascii="宋体" w:hAnsi="宋体" w:cs="宋体"/>
                <w:b/>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lang w:val="zh-CN"/>
              </w:rPr>
            </w:pPr>
          </w:p>
        </w:tc>
        <w:tc>
          <w:tcPr>
            <w:tcW w:w="2835" w:type="dxa"/>
            <w:noWrap/>
            <w:vAlign w:val="center"/>
          </w:tcPr>
          <w:p>
            <w:pPr>
              <w:spacing w:line="360" w:lineRule="auto"/>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5267" w:type="dxa"/>
            <w:vMerge w:val="continue"/>
            <w:noWrap/>
            <w:vAlign w:val="center"/>
          </w:tcPr>
          <w:p>
            <w:pPr>
              <w:spacing w:line="360" w:lineRule="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lang w:val="zh-CN"/>
              </w:rPr>
            </w:pPr>
          </w:p>
        </w:tc>
        <w:tc>
          <w:tcPr>
            <w:tcW w:w="2835" w:type="dxa"/>
            <w:noWrap/>
            <w:vAlign w:val="center"/>
          </w:tcPr>
          <w:p>
            <w:pPr>
              <w:spacing w:line="360" w:lineRule="auto"/>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5267" w:type="dxa"/>
            <w:vMerge w:val="continue"/>
            <w:noWrap/>
            <w:vAlign w:val="center"/>
          </w:tcPr>
          <w:p>
            <w:pPr>
              <w:spacing w:line="360" w:lineRule="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lang w:val="zh-CN"/>
              </w:rPr>
            </w:pPr>
          </w:p>
        </w:tc>
        <w:tc>
          <w:tcPr>
            <w:tcW w:w="2835" w:type="dxa"/>
            <w:noWrap/>
            <w:vAlign w:val="center"/>
          </w:tcPr>
          <w:p>
            <w:pPr>
              <w:spacing w:line="360" w:lineRule="auto"/>
              <w:rPr>
                <w:rFonts w:ascii="宋体" w:hAnsi="宋体" w:cs="宋体"/>
                <w:sz w:val="21"/>
                <w:szCs w:val="21"/>
                <w:lang w:val="zh-CN"/>
              </w:rPr>
            </w:pPr>
            <w:r>
              <w:rPr>
                <w:rFonts w:hint="eastAsia" w:ascii="宋体" w:hAnsi="宋体" w:cs="宋体"/>
                <w:sz w:val="21"/>
                <w:szCs w:val="21"/>
              </w:rPr>
              <w:t>5.参加政府采购活动前三年内，在经营活动中没有重大违法记录</w:t>
            </w:r>
          </w:p>
        </w:tc>
        <w:tc>
          <w:tcPr>
            <w:tcW w:w="5267" w:type="dxa"/>
            <w:vMerge w:val="continue"/>
            <w:noWrap/>
            <w:vAlign w:val="center"/>
          </w:tcPr>
          <w:p>
            <w:pPr>
              <w:spacing w:line="360" w:lineRule="auto"/>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rPr>
            </w:pPr>
          </w:p>
        </w:tc>
        <w:tc>
          <w:tcPr>
            <w:tcW w:w="2835" w:type="dxa"/>
            <w:noWrap/>
            <w:vAlign w:val="center"/>
          </w:tcPr>
          <w:p>
            <w:pPr>
              <w:spacing w:line="360" w:lineRule="auto"/>
              <w:rPr>
                <w:rFonts w:ascii="宋体" w:hAnsi="宋体" w:cs="宋体"/>
                <w:sz w:val="21"/>
                <w:szCs w:val="21"/>
              </w:rPr>
            </w:pPr>
            <w:r>
              <w:rPr>
                <w:rFonts w:hint="eastAsia" w:ascii="宋体" w:hAnsi="宋体" w:cs="宋体"/>
                <w:sz w:val="21"/>
                <w:szCs w:val="21"/>
              </w:rPr>
              <w:t>6.法律、行政法规规定的其他条件</w:t>
            </w:r>
          </w:p>
        </w:tc>
        <w:tc>
          <w:tcPr>
            <w:tcW w:w="5267" w:type="dxa"/>
            <w:noWrap/>
            <w:vAlign w:val="center"/>
          </w:tcPr>
          <w:p>
            <w:pPr>
              <w:spacing w:line="360" w:lineRule="auto"/>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ign w:val="center"/>
          </w:tcPr>
          <w:p>
            <w:pPr>
              <w:spacing w:line="360" w:lineRule="auto"/>
              <w:jc w:val="center"/>
              <w:rPr>
                <w:rFonts w:ascii="宋体" w:hAnsi="宋体" w:cs="宋体"/>
                <w:sz w:val="21"/>
                <w:szCs w:val="21"/>
              </w:rPr>
            </w:pPr>
          </w:p>
        </w:tc>
        <w:tc>
          <w:tcPr>
            <w:tcW w:w="709" w:type="dxa"/>
            <w:vMerge w:val="continue"/>
            <w:noWrap/>
            <w:vAlign w:val="center"/>
          </w:tcPr>
          <w:p>
            <w:pPr>
              <w:spacing w:line="360" w:lineRule="auto"/>
              <w:rPr>
                <w:rFonts w:ascii="宋体" w:hAnsi="宋体" w:cs="宋体"/>
                <w:sz w:val="21"/>
                <w:szCs w:val="21"/>
              </w:rPr>
            </w:pPr>
          </w:p>
        </w:tc>
        <w:tc>
          <w:tcPr>
            <w:tcW w:w="2835" w:type="dxa"/>
            <w:noWrap/>
            <w:vAlign w:val="center"/>
          </w:tcPr>
          <w:p>
            <w:pPr>
              <w:spacing w:line="360" w:lineRule="auto"/>
              <w:rPr>
                <w:rFonts w:ascii="宋体" w:hAnsi="宋体" w:cs="宋体"/>
                <w:sz w:val="21"/>
                <w:szCs w:val="21"/>
              </w:rPr>
            </w:pPr>
            <w:r>
              <w:rPr>
                <w:rFonts w:hint="eastAsia" w:ascii="宋体" w:hAnsi="宋体" w:cs="宋体"/>
                <w:sz w:val="21"/>
                <w:szCs w:val="21"/>
              </w:rPr>
              <w:t>7.本项目的特定资格要求</w:t>
            </w:r>
          </w:p>
        </w:tc>
        <w:tc>
          <w:tcPr>
            <w:tcW w:w="5267" w:type="dxa"/>
            <w:noWrap/>
            <w:vAlign w:val="center"/>
          </w:tcPr>
          <w:p>
            <w:pPr>
              <w:spacing w:line="360" w:lineRule="auto"/>
              <w:rPr>
                <w:rFonts w:ascii="宋体" w:hAnsi="宋体" w:cs="宋体"/>
                <w:sz w:val="21"/>
                <w:szCs w:val="21"/>
              </w:rPr>
            </w:pPr>
            <w:r>
              <w:rPr>
                <w:rFonts w:hint="eastAsia" w:ascii="宋体" w:hAnsi="宋体" w:cs="宋体"/>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spacing w:line="360" w:lineRule="auto"/>
              <w:jc w:val="center"/>
              <w:rPr>
                <w:rFonts w:ascii="宋体" w:hAnsi="宋体" w:cs="宋体"/>
                <w:sz w:val="21"/>
                <w:szCs w:val="21"/>
              </w:rPr>
            </w:pPr>
            <w:r>
              <w:rPr>
                <w:rFonts w:hint="eastAsia" w:ascii="宋体" w:hAnsi="宋体" w:cs="宋体"/>
                <w:sz w:val="21"/>
                <w:szCs w:val="21"/>
              </w:rPr>
              <w:t>（二）</w:t>
            </w:r>
          </w:p>
        </w:tc>
        <w:tc>
          <w:tcPr>
            <w:tcW w:w="3544" w:type="dxa"/>
            <w:gridSpan w:val="2"/>
            <w:noWrap/>
            <w:vAlign w:val="center"/>
          </w:tcPr>
          <w:p>
            <w:pPr>
              <w:spacing w:line="360" w:lineRule="auto"/>
              <w:rPr>
                <w:rFonts w:ascii="宋体" w:hAnsi="宋体" w:cs="宋体"/>
                <w:sz w:val="21"/>
                <w:szCs w:val="21"/>
              </w:rPr>
            </w:pPr>
            <w:r>
              <w:rPr>
                <w:rFonts w:hint="eastAsia" w:ascii="宋体" w:hAnsi="宋体" w:cs="宋体"/>
                <w:sz w:val="21"/>
                <w:szCs w:val="21"/>
              </w:rPr>
              <w:t>落实政府采购政策需满足的资格要求</w:t>
            </w:r>
          </w:p>
        </w:tc>
        <w:tc>
          <w:tcPr>
            <w:tcW w:w="5267" w:type="dxa"/>
            <w:noWrap/>
            <w:vAlign w:val="center"/>
          </w:tcPr>
          <w:p>
            <w:pPr>
              <w:spacing w:line="360" w:lineRule="auto"/>
              <w:rPr>
                <w:rFonts w:ascii="宋体" w:hAnsi="宋体" w:cs="宋体"/>
                <w:sz w:val="21"/>
                <w:szCs w:val="21"/>
              </w:rPr>
            </w:pPr>
            <w:r>
              <w:rPr>
                <w:rFonts w:hint="eastAsia" w:ascii="宋体" w:hAnsi="宋体" w:cs="宋体"/>
                <w:sz w:val="21"/>
                <w:szCs w:val="21"/>
              </w:rPr>
              <w:t>按“第一篇三、供应商资格要求（二）落实政府采购政策需满足的资格要求”的要求提交（如果有）。</w:t>
            </w:r>
          </w:p>
        </w:tc>
      </w:tr>
    </w:tbl>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numPr>
          <w:ilvl w:val="0"/>
          <w:numId w:val="2"/>
        </w:numPr>
        <w:snapToGrid w:val="0"/>
        <w:spacing w:line="360" w:lineRule="auto"/>
        <w:ind w:firstLine="480" w:firstLineChars="200"/>
        <w:rPr>
          <w:rFonts w:ascii="宋体" w:hAnsi="宋体" w:cs="宋体"/>
          <w:sz w:val="24"/>
          <w:szCs w:val="24"/>
        </w:rPr>
      </w:pPr>
      <w:r>
        <w:rPr>
          <w:rFonts w:hint="eastAsia" w:ascii="宋体" w:hAnsi="宋体" w:cs="宋体"/>
          <w:sz w:val="24"/>
          <w:szCs w:val="24"/>
        </w:rPr>
        <w:t>实质性响应审查。询价小组应当对响应文件进行评审，并根据询价通知书规定的采购程序、评定成交的标准等事项与实质性响应询价通知书要求的供应商进行评审。未实质性响应询价通知书的响应文件按无效处理，询价小组应当告知有关供应商。实质性响应审查内容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序号</w:t>
            </w:r>
          </w:p>
        </w:tc>
        <w:tc>
          <w:tcPr>
            <w:tcW w:w="2694" w:type="dxa"/>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审查因素</w:t>
            </w:r>
          </w:p>
        </w:tc>
        <w:tc>
          <w:tcPr>
            <w:tcW w:w="6259" w:type="dxa"/>
            <w:noWrap/>
            <w:vAlign w:val="center"/>
          </w:tcPr>
          <w:p>
            <w:pPr>
              <w:spacing w:line="360" w:lineRule="auto"/>
              <w:jc w:val="center"/>
              <w:rPr>
                <w:rFonts w:ascii="宋体" w:hAnsi="宋体" w:cs="宋体"/>
                <w:b/>
                <w:kern w:val="0"/>
                <w:sz w:val="21"/>
                <w:szCs w:val="21"/>
              </w:rPr>
            </w:pPr>
            <w:r>
              <w:rPr>
                <w:rFonts w:hint="eastAsia" w:ascii="宋体" w:hAnsi="宋体"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1</w:t>
            </w:r>
          </w:p>
        </w:tc>
        <w:tc>
          <w:tcPr>
            <w:tcW w:w="2694" w:type="dxa"/>
            <w:noWrap/>
            <w:vAlign w:val="center"/>
          </w:tcPr>
          <w:p>
            <w:pPr>
              <w:spacing w:line="360" w:lineRule="auto"/>
              <w:rPr>
                <w:rFonts w:ascii="宋体" w:hAnsi="宋体" w:cs="宋体"/>
                <w:kern w:val="0"/>
                <w:sz w:val="21"/>
                <w:szCs w:val="21"/>
              </w:rPr>
            </w:pPr>
            <w:r>
              <w:rPr>
                <w:rFonts w:hint="eastAsia" w:ascii="宋体" w:hAnsi="宋体" w:cs="宋体"/>
                <w:sz w:val="21"/>
                <w:szCs w:val="21"/>
              </w:rPr>
              <w:t>响应文件签署或盖章</w:t>
            </w:r>
          </w:p>
        </w:tc>
        <w:tc>
          <w:tcPr>
            <w:tcW w:w="6259" w:type="dxa"/>
            <w:noWrap/>
            <w:vAlign w:val="center"/>
          </w:tcPr>
          <w:p>
            <w:pPr>
              <w:spacing w:line="360" w:lineRule="auto"/>
              <w:rPr>
                <w:rFonts w:ascii="宋体" w:hAnsi="宋体" w:cs="宋体"/>
                <w:kern w:val="0"/>
                <w:sz w:val="21"/>
                <w:szCs w:val="21"/>
              </w:rPr>
            </w:pPr>
            <w:r>
              <w:rPr>
                <w:rFonts w:hint="eastAsia" w:ascii="宋体" w:hAnsi="宋体" w:cs="宋体"/>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ign w:val="center"/>
          </w:tcPr>
          <w:p>
            <w:pPr>
              <w:spacing w:line="360" w:lineRule="auto"/>
              <w:jc w:val="center"/>
              <w:rPr>
                <w:rFonts w:ascii="宋体" w:hAnsi="宋体" w:cs="宋体"/>
                <w:kern w:val="0"/>
                <w:sz w:val="21"/>
                <w:szCs w:val="21"/>
              </w:rPr>
            </w:pPr>
          </w:p>
        </w:tc>
        <w:tc>
          <w:tcPr>
            <w:tcW w:w="2694" w:type="dxa"/>
            <w:noWrap/>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w:t>
            </w:r>
          </w:p>
        </w:tc>
        <w:tc>
          <w:tcPr>
            <w:tcW w:w="6259" w:type="dxa"/>
            <w:noWrap/>
            <w:vAlign w:val="center"/>
          </w:tcPr>
          <w:p>
            <w:pPr>
              <w:spacing w:line="360" w:lineRule="auto"/>
              <w:rPr>
                <w:rFonts w:ascii="宋体" w:hAnsi="宋体" w:cs="宋体"/>
                <w:sz w:val="21"/>
                <w:szCs w:val="21"/>
              </w:rPr>
            </w:pPr>
            <w:r>
              <w:rPr>
                <w:rFonts w:hint="eastAsia" w:ascii="宋体" w:hAnsi="宋体" w:cs="宋体"/>
                <w:sz w:val="21"/>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ign w:val="center"/>
          </w:tcPr>
          <w:p>
            <w:pPr>
              <w:spacing w:line="360" w:lineRule="auto"/>
              <w:jc w:val="center"/>
              <w:rPr>
                <w:rFonts w:ascii="宋体" w:hAnsi="宋体" w:cs="宋体"/>
                <w:kern w:val="0"/>
                <w:sz w:val="21"/>
                <w:szCs w:val="21"/>
              </w:rPr>
            </w:pPr>
          </w:p>
        </w:tc>
        <w:tc>
          <w:tcPr>
            <w:tcW w:w="2694" w:type="dxa"/>
            <w:noWrap/>
            <w:vAlign w:val="center"/>
          </w:tcPr>
          <w:p>
            <w:pPr>
              <w:spacing w:line="360" w:lineRule="auto"/>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6259" w:type="dxa"/>
            <w:noWrap/>
            <w:vAlign w:val="center"/>
          </w:tcPr>
          <w:p>
            <w:pPr>
              <w:spacing w:line="360" w:lineRule="auto"/>
              <w:rPr>
                <w:rFonts w:ascii="宋体" w:hAnsi="宋体" w:cs="宋体"/>
                <w:kern w:val="0"/>
                <w:sz w:val="21"/>
                <w:szCs w:val="21"/>
              </w:rPr>
            </w:pPr>
            <w:r>
              <w:rPr>
                <w:rFonts w:hint="eastAsia" w:ascii="宋体" w:hAnsi="宋体" w:cs="宋体"/>
                <w:sz w:val="21"/>
                <w:szCs w:val="21"/>
                <w:lang w:val="zh-CN"/>
              </w:rPr>
              <w:t>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noWrap/>
            <w:vAlign w:val="center"/>
          </w:tcPr>
          <w:p>
            <w:pPr>
              <w:spacing w:line="360" w:lineRule="auto"/>
              <w:jc w:val="center"/>
              <w:rPr>
                <w:rFonts w:ascii="宋体" w:hAnsi="宋体" w:cs="宋体"/>
                <w:kern w:val="0"/>
                <w:sz w:val="21"/>
                <w:szCs w:val="21"/>
              </w:rPr>
            </w:pPr>
          </w:p>
        </w:tc>
        <w:tc>
          <w:tcPr>
            <w:tcW w:w="2694" w:type="dxa"/>
            <w:noWrap/>
            <w:vAlign w:val="center"/>
          </w:tcPr>
          <w:p>
            <w:pPr>
              <w:spacing w:line="360" w:lineRule="auto"/>
              <w:rPr>
                <w:rFonts w:ascii="宋体" w:hAnsi="宋体" w:cs="宋体"/>
                <w:sz w:val="21"/>
                <w:szCs w:val="21"/>
                <w:lang w:val="zh-CN"/>
              </w:rPr>
            </w:pPr>
            <w:r>
              <w:rPr>
                <w:rFonts w:hint="eastAsia" w:ascii="宋体" w:hAnsi="宋体" w:cs="宋体"/>
                <w:sz w:val="21"/>
                <w:szCs w:val="21"/>
              </w:rPr>
              <w:t>报价唯一</w:t>
            </w:r>
          </w:p>
        </w:tc>
        <w:tc>
          <w:tcPr>
            <w:tcW w:w="6259" w:type="dxa"/>
            <w:noWrap/>
            <w:vAlign w:val="center"/>
          </w:tcPr>
          <w:p>
            <w:pPr>
              <w:spacing w:line="360" w:lineRule="auto"/>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noWrap/>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2</w:t>
            </w:r>
          </w:p>
        </w:tc>
        <w:tc>
          <w:tcPr>
            <w:tcW w:w="2694" w:type="dxa"/>
            <w:noWrap/>
            <w:vAlign w:val="center"/>
          </w:tcPr>
          <w:p>
            <w:pPr>
              <w:spacing w:line="360" w:lineRule="auto"/>
              <w:rPr>
                <w:rFonts w:ascii="宋体" w:hAnsi="宋体" w:cs="宋体"/>
                <w:kern w:val="0"/>
                <w:sz w:val="21"/>
                <w:szCs w:val="21"/>
              </w:rPr>
            </w:pPr>
            <w:r>
              <w:rPr>
                <w:rFonts w:hint="eastAsia" w:ascii="宋体" w:hAnsi="宋体" w:cs="宋体"/>
                <w:sz w:val="21"/>
                <w:szCs w:val="21"/>
              </w:rPr>
              <w:t>响应文件</w:t>
            </w:r>
            <w:r>
              <w:rPr>
                <w:rFonts w:hint="eastAsia" w:ascii="宋体" w:hAnsi="宋体" w:cs="宋体"/>
                <w:sz w:val="21"/>
                <w:szCs w:val="21"/>
                <w:lang w:val="zh-CN"/>
              </w:rPr>
              <w:t>份数</w:t>
            </w:r>
          </w:p>
        </w:tc>
        <w:tc>
          <w:tcPr>
            <w:tcW w:w="6259" w:type="dxa"/>
            <w:noWrap/>
            <w:vAlign w:val="center"/>
          </w:tcPr>
          <w:p>
            <w:pPr>
              <w:spacing w:line="360" w:lineRule="auto"/>
              <w:rPr>
                <w:rFonts w:ascii="宋体" w:hAnsi="宋体" w:cs="宋体"/>
                <w:kern w:val="0"/>
                <w:sz w:val="21"/>
                <w:szCs w:val="21"/>
              </w:rPr>
            </w:pPr>
            <w:r>
              <w:rPr>
                <w:rFonts w:hint="eastAsia" w:ascii="宋体" w:hAnsi="宋体" w:cs="宋体"/>
                <w:sz w:val="21"/>
                <w:szCs w:val="21"/>
              </w:rPr>
              <w:t>响应文件</w:t>
            </w:r>
            <w:r>
              <w:rPr>
                <w:rFonts w:hint="eastAsia" w:ascii="宋体" w:hAnsi="宋体" w:cs="宋体"/>
                <w:sz w:val="21"/>
                <w:szCs w:val="21"/>
                <w:lang w:val="zh-CN"/>
              </w:rPr>
              <w:t>正、副本数量（含电子文档）符合</w:t>
            </w:r>
            <w:r>
              <w:rPr>
                <w:rFonts w:hint="eastAsia" w:ascii="宋体" w:hAnsi="宋体" w:cs="宋体"/>
                <w:sz w:val="21"/>
                <w:szCs w:val="21"/>
              </w:rPr>
              <w:t>询价通知书</w:t>
            </w:r>
            <w:r>
              <w:rPr>
                <w:rFonts w:hint="eastAsia" w:ascii="宋体" w:hAnsi="宋体" w:cs="宋体"/>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ign w:val="center"/>
          </w:tcPr>
          <w:p>
            <w:pPr>
              <w:spacing w:line="360" w:lineRule="auto"/>
              <w:jc w:val="center"/>
              <w:rPr>
                <w:rFonts w:ascii="宋体" w:hAnsi="宋体" w:cs="宋体"/>
                <w:kern w:val="0"/>
                <w:sz w:val="21"/>
                <w:szCs w:val="21"/>
              </w:rPr>
            </w:pPr>
            <w:r>
              <w:rPr>
                <w:rFonts w:hint="eastAsia" w:ascii="宋体" w:hAnsi="宋体" w:cs="宋体"/>
                <w:kern w:val="0"/>
                <w:sz w:val="21"/>
                <w:szCs w:val="21"/>
              </w:rPr>
              <w:t>3</w:t>
            </w:r>
          </w:p>
        </w:tc>
        <w:tc>
          <w:tcPr>
            <w:tcW w:w="2694" w:type="dxa"/>
            <w:noWrap/>
            <w:vAlign w:val="center"/>
          </w:tcPr>
          <w:p>
            <w:pPr>
              <w:spacing w:line="360" w:lineRule="auto"/>
              <w:rPr>
                <w:rFonts w:ascii="宋体" w:hAnsi="宋体" w:cs="宋体"/>
                <w:kern w:val="0"/>
                <w:sz w:val="21"/>
                <w:szCs w:val="21"/>
              </w:rPr>
            </w:pPr>
            <w:r>
              <w:rPr>
                <w:rFonts w:hint="eastAsia" w:ascii="宋体" w:hAnsi="宋体" w:cs="宋体"/>
                <w:kern w:val="0"/>
                <w:sz w:val="21"/>
                <w:szCs w:val="21"/>
              </w:rPr>
              <w:t>响应文件内容</w:t>
            </w:r>
          </w:p>
        </w:tc>
        <w:tc>
          <w:tcPr>
            <w:tcW w:w="6259" w:type="dxa"/>
            <w:noWrap/>
            <w:vAlign w:val="center"/>
          </w:tcPr>
          <w:p>
            <w:pPr>
              <w:pStyle w:val="33"/>
              <w:spacing w:line="360" w:lineRule="auto"/>
              <w:rPr>
                <w:rFonts w:ascii="宋体" w:hAnsi="宋体" w:cs="宋体"/>
                <w:kern w:val="0"/>
                <w:sz w:val="21"/>
                <w:szCs w:val="21"/>
              </w:rPr>
            </w:pPr>
            <w:r>
              <w:rPr>
                <w:rFonts w:hint="eastAsia" w:ascii="宋体" w:hAnsi="宋体" w:cs="宋体"/>
                <w:kern w:val="0"/>
                <w:sz w:val="21"/>
                <w:szCs w:val="21"/>
              </w:rPr>
              <w:t>对询价通知书第二篇、第三篇规定的询价内容进行实质性响应。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5" w:type="dxa"/>
            <w:vMerge w:val="continue"/>
            <w:noWrap/>
            <w:vAlign w:val="center"/>
          </w:tcPr>
          <w:p>
            <w:pPr>
              <w:spacing w:line="360" w:lineRule="auto"/>
              <w:jc w:val="center"/>
              <w:rPr>
                <w:rFonts w:ascii="宋体" w:hAnsi="宋体" w:cs="宋体"/>
                <w:kern w:val="0"/>
                <w:sz w:val="21"/>
                <w:szCs w:val="21"/>
              </w:rPr>
            </w:pPr>
          </w:p>
        </w:tc>
        <w:tc>
          <w:tcPr>
            <w:tcW w:w="2694" w:type="dxa"/>
            <w:noWrap/>
            <w:vAlign w:val="center"/>
          </w:tcPr>
          <w:p>
            <w:pPr>
              <w:spacing w:line="360" w:lineRule="auto"/>
              <w:rPr>
                <w:rFonts w:ascii="宋体" w:hAnsi="宋体" w:cs="宋体"/>
                <w:kern w:val="0"/>
                <w:sz w:val="21"/>
                <w:szCs w:val="21"/>
              </w:rPr>
            </w:pPr>
            <w:r>
              <w:rPr>
                <w:rFonts w:hint="eastAsia" w:ascii="宋体" w:hAnsi="宋体" w:cs="宋体"/>
                <w:kern w:val="0"/>
                <w:sz w:val="21"/>
                <w:szCs w:val="21"/>
              </w:rPr>
              <w:t>询价有效期</w:t>
            </w:r>
          </w:p>
        </w:tc>
        <w:tc>
          <w:tcPr>
            <w:tcW w:w="6259" w:type="dxa"/>
            <w:noWrap/>
            <w:vAlign w:val="center"/>
          </w:tcPr>
          <w:p>
            <w:pPr>
              <w:spacing w:line="360" w:lineRule="auto"/>
              <w:rPr>
                <w:rFonts w:ascii="宋体" w:hAnsi="宋体" w:cs="宋体"/>
                <w:kern w:val="0"/>
                <w:sz w:val="21"/>
                <w:szCs w:val="21"/>
              </w:rPr>
            </w:pPr>
            <w:r>
              <w:rPr>
                <w:rFonts w:hint="eastAsia" w:ascii="宋体" w:hAnsi="宋体" w:cs="宋体"/>
                <w:kern w:val="0"/>
                <w:sz w:val="21"/>
                <w:szCs w:val="21"/>
              </w:rPr>
              <w:t>响应文件及有关承诺文件有效期为提交响应文件截止时间起90天。</w:t>
            </w:r>
          </w:p>
        </w:tc>
      </w:tr>
    </w:tbl>
    <w:p>
      <w:pPr>
        <w:pStyle w:val="34"/>
        <w:spacing w:line="360" w:lineRule="auto"/>
        <w:ind w:firstLine="480" w:firstLineChars="200"/>
        <w:rPr>
          <w:rFonts w:ascii="宋体" w:hAnsi="宋体" w:cs="宋体"/>
          <w:sz w:val="24"/>
          <w:szCs w:val="24"/>
        </w:rPr>
      </w:pPr>
      <w:r>
        <w:rPr>
          <w:rFonts w:hint="eastAsia" w:ascii="宋体" w:hAnsi="宋体" w:cs="宋体"/>
          <w:sz w:val="24"/>
          <w:szCs w:val="24"/>
        </w:rPr>
        <w:t>（三）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询价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360" w:lineRule="auto"/>
        <w:ind w:firstLine="360" w:firstLineChars="150"/>
        <w:rPr>
          <w:rFonts w:ascii="宋体" w:hAnsi="宋体" w:cs="宋体"/>
          <w:sz w:val="24"/>
          <w:szCs w:val="24"/>
        </w:rPr>
      </w:pPr>
      <w:r>
        <w:rPr>
          <w:rFonts w:hint="eastAsia" w:ascii="宋体" w:hAnsi="宋体" w:cs="宋体"/>
          <w:sz w:val="24"/>
          <w:szCs w:val="24"/>
        </w:rPr>
        <w:t>（四）评审的依据为询价通知书和响应文件（含有效的补充文件）。询价小组判断响应文件对询价通知书的响应，仅基于响应文件本身而不靠外部证据。</w:t>
      </w:r>
    </w:p>
    <w:p>
      <w:pPr>
        <w:pStyle w:val="5"/>
        <w:adjustRightInd w:val="0"/>
        <w:snapToGrid w:val="0"/>
        <w:spacing w:before="0" w:after="0" w:line="360" w:lineRule="auto"/>
        <w:ind w:firstLine="482" w:firstLineChars="200"/>
        <w:rPr>
          <w:rFonts w:ascii="宋体" w:hAnsi="宋体" w:eastAsia="宋体" w:cs="宋体"/>
          <w:sz w:val="24"/>
        </w:rPr>
      </w:pPr>
      <w:bookmarkStart w:id="178" w:name="_Toc11713"/>
      <w:bookmarkStart w:id="179" w:name="_Toc18311"/>
      <w:bookmarkStart w:id="180" w:name="_Toc18973"/>
      <w:bookmarkStart w:id="181" w:name="_Toc7404"/>
      <w:bookmarkStart w:id="182" w:name="_Toc9910"/>
      <w:bookmarkStart w:id="183" w:name="_Toc30639"/>
      <w:bookmarkStart w:id="184" w:name="_Toc26862"/>
      <w:bookmarkStart w:id="185" w:name="_Toc64732013"/>
      <w:bookmarkStart w:id="186" w:name="_Toc65660351"/>
      <w:bookmarkStart w:id="187" w:name="_Toc19045"/>
      <w:bookmarkStart w:id="188" w:name="_Toc23545"/>
      <w:bookmarkStart w:id="189" w:name="_Toc29095"/>
      <w:bookmarkStart w:id="190" w:name="_Toc16803"/>
      <w:bookmarkStart w:id="191" w:name="_Toc5149"/>
      <w:bookmarkStart w:id="192" w:name="_Toc116294851"/>
      <w:bookmarkStart w:id="193" w:name="_Toc1889"/>
      <w:r>
        <w:rPr>
          <w:rFonts w:hint="eastAsia" w:ascii="宋体" w:hAnsi="宋体" w:eastAsia="宋体" w:cs="宋体"/>
          <w:sz w:val="24"/>
        </w:rPr>
        <w:t>二、评定成交的标准</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34"/>
        <w:spacing w:line="360" w:lineRule="auto"/>
        <w:ind w:firstLine="480" w:firstLineChars="200"/>
        <w:rPr>
          <w:rFonts w:ascii="宋体" w:hAnsi="宋体" w:cs="宋体"/>
          <w:sz w:val="24"/>
          <w:szCs w:val="24"/>
        </w:rPr>
      </w:pPr>
      <w:r>
        <w:rPr>
          <w:rFonts w:hint="eastAsia" w:ascii="宋体" w:hAnsi="宋体" w:cs="宋体"/>
          <w:sz w:val="24"/>
          <w:szCs w:val="24"/>
        </w:rPr>
        <w:t>（一）询价小组将依照本询价通知书相关规定对技术（质量）和服务均能满足实质性响应要求的供应商所提交的报价进行政策性扣减，并依据扣减后的价格按照由低到高的顺序提出3名以上成交候选人，并编写评审报告。</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注：政策性扣减方式</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1.供应商为非联合体参与报价的，对小微型企业给予</w:t>
      </w:r>
      <w:r>
        <w:rPr>
          <w:rFonts w:hint="eastAsia" w:ascii="宋体" w:hAnsi="宋体" w:cs="宋体"/>
          <w:sz w:val="24"/>
          <w:szCs w:val="24"/>
          <w:u w:val="single"/>
        </w:rPr>
        <w:t>10</w:t>
      </w:r>
      <w:r>
        <w:rPr>
          <w:rFonts w:hint="eastAsia" w:ascii="宋体" w:hAnsi="宋体" w:cs="宋体"/>
          <w:sz w:val="24"/>
          <w:szCs w:val="24"/>
        </w:rPr>
        <w:t>%的扣除，以扣除后的报价参与评审。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2.监狱企业、残疾人福利性单位视同小型、微型企业。</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（二）若供应商的报价经扣减后价格相同，按技术（质量）的优劣顺序排列；以上都相同的，按服务条款的优劣顺序排列。</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（三）成交价格=成交供应商的报价。</w:t>
      </w:r>
    </w:p>
    <w:p>
      <w:pPr>
        <w:pStyle w:val="5"/>
        <w:adjustRightInd w:val="0"/>
        <w:snapToGrid w:val="0"/>
        <w:spacing w:before="0" w:after="0" w:line="360" w:lineRule="auto"/>
        <w:ind w:firstLine="482" w:firstLineChars="200"/>
        <w:rPr>
          <w:rFonts w:ascii="宋体" w:hAnsi="宋体" w:eastAsia="宋体" w:cs="宋体"/>
          <w:sz w:val="24"/>
        </w:rPr>
      </w:pPr>
      <w:bookmarkStart w:id="194" w:name="_Toc65660352"/>
      <w:bookmarkStart w:id="195" w:name="_Toc29113"/>
      <w:bookmarkStart w:id="196" w:name="_Toc12644"/>
      <w:bookmarkStart w:id="197" w:name="_Toc116294852"/>
      <w:bookmarkStart w:id="198" w:name="_Toc6377"/>
      <w:bookmarkStart w:id="199" w:name="_Toc12604"/>
      <w:bookmarkStart w:id="200" w:name="_Toc9173"/>
      <w:bookmarkStart w:id="201" w:name="_Toc15048"/>
      <w:bookmarkStart w:id="202" w:name="_Toc2183"/>
      <w:bookmarkStart w:id="203" w:name="_Toc25028"/>
      <w:bookmarkStart w:id="204" w:name="_Toc19473"/>
      <w:bookmarkStart w:id="205" w:name="_Toc8236"/>
      <w:bookmarkStart w:id="206" w:name="_Toc2582"/>
      <w:bookmarkStart w:id="207" w:name="_Toc650"/>
      <w:bookmarkStart w:id="208" w:name="_Toc7360"/>
      <w:r>
        <w:rPr>
          <w:rFonts w:hint="eastAsia" w:ascii="宋体" w:hAnsi="宋体" w:eastAsia="宋体" w:cs="宋体"/>
          <w:sz w:val="24"/>
        </w:rPr>
        <w:t>三、无效</w:t>
      </w:r>
      <w:bookmarkEnd w:id="194"/>
      <w:bookmarkEnd w:id="195"/>
      <w:bookmarkEnd w:id="196"/>
      <w:r>
        <w:rPr>
          <w:rFonts w:hint="eastAsia" w:ascii="宋体" w:hAnsi="宋体" w:eastAsia="宋体" w:cs="宋体"/>
          <w:sz w:val="24"/>
        </w:rPr>
        <w:t>报价</w:t>
      </w:r>
      <w:bookmarkEnd w:id="197"/>
      <w:bookmarkEnd w:id="198"/>
      <w:bookmarkEnd w:id="199"/>
      <w:bookmarkEnd w:id="200"/>
      <w:bookmarkEnd w:id="201"/>
      <w:bookmarkEnd w:id="202"/>
      <w:bookmarkEnd w:id="203"/>
      <w:bookmarkEnd w:id="204"/>
      <w:bookmarkEnd w:id="205"/>
      <w:bookmarkEnd w:id="206"/>
      <w:bookmarkEnd w:id="207"/>
      <w:bookmarkEnd w:id="208"/>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供应商发生以下条款情况之一者，视为无效报价：</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（一）供应商不符合规定的资格条件的；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（二）供应商未通过实质性响应审查的；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（三）供应商未在保证金到账截止时间前足额交纳所参与包保证金的；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（四）供应商所提交的响应文件未按“第七篇响应文件格式要求”要求签署或盖章的；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（五）供应商的报价超过采购预算或最高限价的；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（六）供应商不接受询价小组修正后的价格的；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（七）单位负责人为同一人或者存在直接控股、管理关系的不同供应商，参加同一合同项（包）报价的；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（八）为采购项目提供整体设计、规范编制或者项目管理、监理、检测等服务的供应商再参加该采购项目的其他采购活动的；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（九）同一合同项（包）下的货物，制造商参与报价，再委托代理商参与报价的；</w:t>
      </w:r>
    </w:p>
    <w:p>
      <w:pPr>
        <w:pStyle w:val="34"/>
        <w:spacing w:line="360" w:lineRule="auto"/>
        <w:ind w:firstLine="480" w:firstLineChars="200"/>
        <w:rPr>
          <w:rFonts w:ascii="宋体" w:hAnsi="宋体" w:cs="宋体"/>
          <w:sz w:val="24"/>
          <w:szCs w:val="24"/>
        </w:rPr>
      </w:pPr>
      <w:r>
        <w:rPr>
          <w:rFonts w:hint="eastAsia" w:ascii="宋体" w:hAnsi="宋体" w:cs="宋体"/>
          <w:sz w:val="24"/>
          <w:szCs w:val="24"/>
        </w:rPr>
        <w:t>（十）供应商响应文件内容有与国家现行法律法规相违背的内容，或附有采购人无法接受条件的；</w:t>
      </w:r>
    </w:p>
    <w:p>
      <w:pPr>
        <w:pStyle w:val="34"/>
        <w:spacing w:line="360" w:lineRule="auto"/>
        <w:rPr>
          <w:rFonts w:ascii="宋体" w:hAnsi="宋体" w:cs="宋体"/>
          <w:sz w:val="24"/>
          <w:szCs w:val="24"/>
        </w:rPr>
      </w:pPr>
      <w:r>
        <w:rPr>
          <w:rFonts w:hint="eastAsia" w:ascii="宋体" w:hAnsi="宋体" w:cs="宋体"/>
          <w:sz w:val="24"/>
          <w:szCs w:val="24"/>
        </w:rPr>
        <w:t>（十一）法律、法规和询价通知书规定的其他无效情形。</w:t>
      </w:r>
    </w:p>
    <w:p>
      <w:pPr>
        <w:pStyle w:val="5"/>
        <w:adjustRightInd w:val="0"/>
        <w:snapToGrid w:val="0"/>
        <w:spacing w:before="0" w:after="0" w:line="360" w:lineRule="auto"/>
        <w:ind w:firstLine="482" w:firstLineChars="200"/>
        <w:rPr>
          <w:rFonts w:ascii="宋体" w:hAnsi="宋体" w:eastAsia="宋体" w:cs="宋体"/>
          <w:sz w:val="24"/>
        </w:rPr>
      </w:pPr>
      <w:bookmarkStart w:id="209" w:name="_Toc27606"/>
      <w:bookmarkStart w:id="210" w:name="_Toc22716"/>
      <w:bookmarkStart w:id="211" w:name="_Toc65660353"/>
      <w:bookmarkStart w:id="212" w:name="_Toc116294853"/>
      <w:bookmarkStart w:id="213" w:name="_Toc21943"/>
      <w:bookmarkStart w:id="214" w:name="_Toc32595"/>
      <w:bookmarkStart w:id="215" w:name="_Toc11401"/>
      <w:bookmarkStart w:id="216" w:name="_Toc8656"/>
      <w:bookmarkStart w:id="217" w:name="_Toc29298"/>
      <w:bookmarkStart w:id="218" w:name="_Toc5949"/>
      <w:bookmarkStart w:id="219" w:name="_Toc29329"/>
      <w:bookmarkStart w:id="220" w:name="_Toc5350"/>
      <w:bookmarkStart w:id="221" w:name="_Toc28422"/>
      <w:bookmarkStart w:id="222" w:name="_Toc4662"/>
      <w:bookmarkStart w:id="223" w:name="_Toc8575"/>
      <w:r>
        <w:rPr>
          <w:rFonts w:hint="eastAsia" w:ascii="宋体" w:hAnsi="宋体" w:eastAsia="宋体" w:cs="宋体"/>
          <w:sz w:val="24"/>
        </w:rPr>
        <w:t>四、采购终止</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出现下列情形之一的，采购人或者采购代理机构应当终止询价采购活动，发布项目终止公告并说明原因，重新开展采购活动：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（一）因情况变化，不再符合规定的询价采购方式适用情形的；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（二）出现影响采购公正的违法、违规行为的；</w:t>
      </w:r>
    </w:p>
    <w:p>
      <w:pPr>
        <w:spacing w:line="360" w:lineRule="auto"/>
        <w:ind w:firstLine="480"/>
        <w:jc w:val="left"/>
        <w:rPr>
          <w:rFonts w:ascii="宋体" w:hAnsi="宋体" w:cs="宋体"/>
          <w:sz w:val="24"/>
          <w:szCs w:val="24"/>
        </w:rPr>
      </w:pPr>
      <w:r>
        <w:rPr>
          <w:rFonts w:hint="eastAsia" w:ascii="宋体" w:hAnsi="宋体" w:cs="宋体"/>
          <w:sz w:val="24"/>
          <w:szCs w:val="24"/>
        </w:rPr>
        <w:t>（三）在采购过程中符合竞争要求的供应商或者报价未超过采购预算的供应商不足3家的。</w:t>
      </w:r>
    </w:p>
    <w:p>
      <w:pPr>
        <w:rPr>
          <w:rFonts w:ascii="宋体" w:hAnsi="宋体" w:cs="宋体"/>
          <w:b/>
          <w:bCs/>
          <w:sz w:val="36"/>
          <w:szCs w:val="30"/>
        </w:rPr>
      </w:pPr>
      <w:r>
        <w:rPr>
          <w:rFonts w:hint="eastAsia" w:ascii="宋体" w:hAnsi="宋体" w:cs="宋体"/>
          <w:b/>
          <w:bCs/>
          <w:sz w:val="36"/>
          <w:szCs w:val="30"/>
        </w:rPr>
        <w:br w:type="page"/>
      </w:r>
    </w:p>
    <w:p>
      <w:pPr>
        <w:spacing w:line="360" w:lineRule="auto"/>
        <w:ind w:firstLine="480"/>
        <w:jc w:val="center"/>
        <w:outlineLvl w:val="1"/>
        <w:rPr>
          <w:rFonts w:ascii="宋体" w:hAnsi="宋体" w:cs="宋体"/>
          <w:b/>
          <w:bCs/>
          <w:sz w:val="36"/>
          <w:szCs w:val="30"/>
        </w:rPr>
      </w:pPr>
      <w:bookmarkStart w:id="224" w:name="_Toc1135"/>
      <w:bookmarkStart w:id="225" w:name="_Toc28628"/>
      <w:r>
        <w:rPr>
          <w:rFonts w:hint="eastAsia" w:ascii="宋体" w:hAnsi="宋体" w:cs="宋体"/>
          <w:b/>
          <w:bCs/>
          <w:sz w:val="36"/>
          <w:szCs w:val="30"/>
        </w:rPr>
        <w:t>第五篇  供应商须知</w:t>
      </w:r>
      <w:bookmarkEnd w:id="224"/>
      <w:bookmarkEnd w:id="225"/>
    </w:p>
    <w:p>
      <w:pPr>
        <w:pStyle w:val="5"/>
        <w:adjustRightInd w:val="0"/>
        <w:snapToGrid w:val="0"/>
        <w:spacing w:before="0" w:after="0" w:line="336" w:lineRule="auto"/>
        <w:ind w:firstLine="482" w:firstLineChars="200"/>
        <w:rPr>
          <w:rFonts w:ascii="宋体" w:hAnsi="宋体" w:eastAsia="宋体" w:cs="宋体"/>
          <w:sz w:val="24"/>
        </w:rPr>
      </w:pPr>
      <w:bookmarkStart w:id="226" w:name="_Toc7035"/>
      <w:bookmarkStart w:id="227" w:name="_Toc16524"/>
      <w:bookmarkStart w:id="228" w:name="_Toc2864"/>
      <w:bookmarkStart w:id="229" w:name="_Toc4939"/>
      <w:bookmarkStart w:id="230" w:name="_Toc15990"/>
      <w:bookmarkStart w:id="231" w:name="_Toc10017"/>
      <w:bookmarkStart w:id="232" w:name="_Toc11718"/>
      <w:bookmarkStart w:id="233" w:name="_Toc30684"/>
      <w:bookmarkStart w:id="234" w:name="_Toc27832"/>
      <w:bookmarkStart w:id="235" w:name="_Toc18274"/>
      <w:bookmarkStart w:id="236" w:name="_Toc116294855"/>
      <w:bookmarkStart w:id="237" w:name="_Toc65660355"/>
      <w:bookmarkStart w:id="238" w:name="_Toc9126"/>
      <w:bookmarkStart w:id="239" w:name="_Toc5290"/>
      <w:bookmarkStart w:id="240" w:name="_Toc13125"/>
      <w:r>
        <w:rPr>
          <w:rFonts w:hint="eastAsia" w:ascii="宋体" w:hAnsi="宋体" w:eastAsia="宋体" w:cs="宋体"/>
          <w:sz w:val="24"/>
        </w:rPr>
        <w:t>一、询价费用</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194"/>
        <w:spacing w:line="336" w:lineRule="auto"/>
        <w:ind w:firstLine="480" w:firstLineChars="200"/>
        <w:rPr>
          <w:rFonts w:hAnsi="宋体"/>
          <w:sz w:val="24"/>
          <w:szCs w:val="24"/>
        </w:rPr>
      </w:pPr>
      <w:r>
        <w:rPr>
          <w:rFonts w:hint="eastAsia" w:hAnsi="宋体"/>
          <w:sz w:val="24"/>
          <w:szCs w:val="24"/>
        </w:rPr>
        <w:t>参与报价的供应商应承担其编制响应文件与递交响应文件所涉及的一切费用，不论询价结果如何，采购人和采购代理机构在任何情况下无义务也无责任承担这些费用。</w:t>
      </w:r>
    </w:p>
    <w:p>
      <w:pPr>
        <w:pStyle w:val="5"/>
        <w:adjustRightInd w:val="0"/>
        <w:snapToGrid w:val="0"/>
        <w:spacing w:before="0" w:after="0" w:line="336" w:lineRule="auto"/>
        <w:ind w:firstLine="482" w:firstLineChars="200"/>
        <w:rPr>
          <w:rFonts w:ascii="宋体" w:hAnsi="宋体" w:eastAsia="宋体" w:cs="宋体"/>
          <w:sz w:val="24"/>
        </w:rPr>
      </w:pPr>
      <w:bookmarkStart w:id="241" w:name="_Toc65660356"/>
      <w:bookmarkStart w:id="242" w:name="_Toc31070"/>
      <w:bookmarkStart w:id="243" w:name="_Toc3638"/>
      <w:bookmarkStart w:id="244" w:name="_Toc24415"/>
      <w:bookmarkStart w:id="245" w:name="_Toc31739"/>
      <w:bookmarkStart w:id="246" w:name="_Toc15402"/>
      <w:bookmarkStart w:id="247" w:name="_Toc7782"/>
      <w:bookmarkStart w:id="248" w:name="_Toc116294856"/>
      <w:bookmarkStart w:id="249" w:name="_Toc2619"/>
      <w:bookmarkStart w:id="250" w:name="_Toc5915"/>
      <w:bookmarkStart w:id="251" w:name="_Toc25943"/>
      <w:bookmarkStart w:id="252" w:name="_Toc3937"/>
      <w:bookmarkStart w:id="253" w:name="_Toc3291"/>
      <w:bookmarkStart w:id="254" w:name="_Toc28497"/>
      <w:bookmarkStart w:id="255" w:name="_Toc2620"/>
      <w:r>
        <w:rPr>
          <w:rFonts w:hint="eastAsia" w:ascii="宋体" w:hAnsi="宋体" w:eastAsia="宋体" w:cs="宋体"/>
          <w:sz w:val="24"/>
        </w:rPr>
        <w:t>二、询价通知书</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hint="eastAsia" w:ascii="宋体" w:hAnsi="宋体" w:eastAsia="宋体" w:cs="宋体"/>
          <w:sz w:val="24"/>
        </w:rPr>
        <w:tab/>
      </w:r>
    </w:p>
    <w:p>
      <w:pPr>
        <w:snapToGrid w:val="0"/>
        <w:spacing w:line="336" w:lineRule="auto"/>
        <w:ind w:firstLine="360" w:firstLineChars="150"/>
        <w:rPr>
          <w:rFonts w:ascii="宋体" w:hAnsi="宋体" w:cs="宋体"/>
          <w:sz w:val="24"/>
          <w:szCs w:val="24"/>
        </w:rPr>
      </w:pPr>
      <w:r>
        <w:rPr>
          <w:rFonts w:hint="eastAsia" w:ascii="宋体" w:hAnsi="宋体" w:cs="宋体"/>
          <w:sz w:val="24"/>
          <w:szCs w:val="24"/>
        </w:rPr>
        <w:t>（一）询价通知书由询价采购邀请书、询价项目技术（质量）需求、询价项目服务需求、采购程序、评定成交的标准、无效报价及采购终止、供应商须知、合同草案条款、响应文件格式要求七部分组成。</w:t>
      </w:r>
    </w:p>
    <w:p>
      <w:pPr>
        <w:snapToGrid w:val="0"/>
        <w:spacing w:line="336" w:lineRule="auto"/>
        <w:ind w:firstLine="360" w:firstLineChars="150"/>
        <w:rPr>
          <w:rFonts w:ascii="宋体" w:hAnsi="宋体" w:cs="宋体"/>
          <w:sz w:val="24"/>
          <w:szCs w:val="24"/>
        </w:rPr>
      </w:pPr>
      <w:r>
        <w:rPr>
          <w:rFonts w:hint="eastAsia" w:ascii="宋体" w:hAnsi="宋体" w:cs="宋体"/>
          <w:sz w:val="24"/>
          <w:szCs w:val="24"/>
        </w:rPr>
        <w:t>（二）采购人（或采购代理机构）所作的一切有效的书面通知、修改及补充，都是询价通知书不可分割的部分。</w:t>
      </w:r>
    </w:p>
    <w:p>
      <w:pPr>
        <w:pStyle w:val="5"/>
        <w:adjustRightInd w:val="0"/>
        <w:snapToGrid w:val="0"/>
        <w:spacing w:before="0" w:after="0" w:line="336" w:lineRule="auto"/>
        <w:ind w:firstLine="482" w:firstLineChars="200"/>
        <w:rPr>
          <w:rFonts w:ascii="宋体" w:hAnsi="宋体" w:eastAsia="宋体" w:cs="宋体"/>
          <w:sz w:val="24"/>
        </w:rPr>
      </w:pPr>
      <w:bookmarkStart w:id="256" w:name="_Toc1922"/>
      <w:bookmarkStart w:id="257" w:name="_Toc16663"/>
      <w:bookmarkStart w:id="258" w:name="_Toc32707"/>
      <w:bookmarkStart w:id="259" w:name="_Toc27675"/>
      <w:bookmarkStart w:id="260" w:name="_Toc25774"/>
      <w:bookmarkStart w:id="261" w:name="_Toc31534"/>
      <w:bookmarkStart w:id="262" w:name="_Toc8921"/>
      <w:bookmarkStart w:id="263" w:name="_Toc65660357"/>
      <w:bookmarkStart w:id="264" w:name="_Toc9532"/>
      <w:bookmarkStart w:id="265" w:name="_Toc331"/>
      <w:bookmarkStart w:id="266" w:name="_Toc3061"/>
      <w:bookmarkStart w:id="267" w:name="_Toc16024"/>
      <w:bookmarkStart w:id="268" w:name="_Toc21426"/>
      <w:bookmarkStart w:id="269" w:name="_Toc6826"/>
      <w:bookmarkStart w:id="270" w:name="_Toc116294857"/>
      <w:r>
        <w:rPr>
          <w:rFonts w:hint="eastAsia" w:ascii="宋体" w:hAnsi="宋体" w:eastAsia="宋体" w:cs="宋体"/>
          <w:sz w:val="24"/>
        </w:rPr>
        <w:t>三、报价要求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napToGrid w:val="0"/>
        <w:spacing w:line="336" w:lineRule="auto"/>
        <w:ind w:firstLine="360" w:firstLineChars="150"/>
        <w:outlineLvl w:val="2"/>
        <w:rPr>
          <w:rFonts w:ascii="宋体" w:hAnsi="宋体" w:cs="宋体"/>
          <w:sz w:val="24"/>
          <w:szCs w:val="24"/>
        </w:rPr>
      </w:pPr>
      <w:bookmarkStart w:id="271" w:name="_Toc2744"/>
      <w:r>
        <w:rPr>
          <w:rFonts w:hint="eastAsia" w:ascii="宋体" w:hAnsi="宋体" w:cs="宋体"/>
          <w:sz w:val="24"/>
          <w:szCs w:val="24"/>
        </w:rPr>
        <w:t>（一）响应文件</w:t>
      </w:r>
      <w:bookmarkEnd w:id="271"/>
    </w:p>
    <w:p>
      <w:pPr>
        <w:spacing w:line="336" w:lineRule="auto"/>
        <w:ind w:firstLine="480" w:firstLineChars="200"/>
        <w:rPr>
          <w:rFonts w:ascii="宋体" w:hAnsi="宋体" w:cs="宋体"/>
          <w:sz w:val="24"/>
          <w:szCs w:val="24"/>
        </w:rPr>
      </w:pPr>
      <w:r>
        <w:rPr>
          <w:rFonts w:hint="eastAsia" w:ascii="宋体" w:hAnsi="宋体" w:cs="宋体"/>
          <w:sz w:val="24"/>
          <w:szCs w:val="24"/>
        </w:rPr>
        <w:t>供应商应当按照询价通知书的要求编制响应文件，并对询价通知书提出的要求和条件作出实质性响应，响应文件原则上采用软面订本。</w:t>
      </w:r>
    </w:p>
    <w:p>
      <w:pPr>
        <w:spacing w:line="336" w:lineRule="auto"/>
        <w:ind w:firstLine="480" w:firstLineChars="200"/>
        <w:rPr>
          <w:rFonts w:ascii="宋体" w:hAnsi="宋体" w:cs="宋体"/>
          <w:sz w:val="24"/>
          <w:szCs w:val="24"/>
        </w:rPr>
      </w:pPr>
      <w:r>
        <w:rPr>
          <w:rFonts w:hint="eastAsia" w:ascii="宋体" w:hAnsi="宋体" w:cs="宋体"/>
          <w:sz w:val="24"/>
          <w:szCs w:val="24"/>
        </w:rPr>
        <w:t>1.响应文件组成</w:t>
      </w:r>
    </w:p>
    <w:p>
      <w:pPr>
        <w:spacing w:line="336" w:lineRule="auto"/>
        <w:ind w:firstLine="480" w:firstLineChars="200"/>
        <w:rPr>
          <w:rFonts w:ascii="宋体" w:hAnsi="宋体" w:cs="宋体"/>
          <w:sz w:val="24"/>
          <w:szCs w:val="24"/>
        </w:rPr>
      </w:pPr>
      <w:r>
        <w:rPr>
          <w:rFonts w:hint="eastAsia" w:ascii="宋体" w:hAnsi="宋体" w:cs="宋体"/>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336" w:lineRule="auto"/>
        <w:ind w:firstLine="480" w:firstLineChars="200"/>
        <w:rPr>
          <w:rFonts w:ascii="宋体" w:hAnsi="宋体" w:cs="宋体"/>
          <w:sz w:val="24"/>
          <w:szCs w:val="24"/>
        </w:rPr>
      </w:pPr>
      <w:r>
        <w:rPr>
          <w:rFonts w:hint="eastAsia" w:ascii="宋体" w:hAnsi="宋体" w:cs="宋体"/>
          <w:sz w:val="24"/>
          <w:szCs w:val="24"/>
        </w:rPr>
        <w:t>2.联合体（本项目不接受联合体）</w:t>
      </w:r>
    </w:p>
    <w:p>
      <w:pPr>
        <w:spacing w:line="336" w:lineRule="auto"/>
        <w:ind w:firstLine="480" w:firstLineChars="200"/>
        <w:rPr>
          <w:rFonts w:ascii="宋体" w:hAnsi="宋体" w:cs="宋体"/>
          <w:sz w:val="24"/>
          <w:szCs w:val="24"/>
        </w:rPr>
      </w:pPr>
      <w:r>
        <w:rPr>
          <w:rFonts w:hint="eastAsia" w:ascii="宋体" w:hAnsi="宋体" w:cs="宋体"/>
          <w:sz w:val="24"/>
          <w:szCs w:val="24"/>
        </w:rPr>
        <w:t>3.报价有效期：响应文件及有关承诺文件有效期为提交响应文件截止时间起90天。</w:t>
      </w:r>
    </w:p>
    <w:p>
      <w:pPr>
        <w:snapToGrid w:val="0"/>
        <w:spacing w:line="336" w:lineRule="auto"/>
        <w:ind w:firstLine="360" w:firstLineChars="150"/>
        <w:outlineLvl w:val="2"/>
        <w:rPr>
          <w:rFonts w:ascii="宋体" w:hAnsi="宋体" w:cs="宋体"/>
          <w:sz w:val="24"/>
          <w:szCs w:val="24"/>
        </w:rPr>
      </w:pPr>
      <w:bookmarkStart w:id="272" w:name="_Toc22383"/>
      <w:r>
        <w:rPr>
          <w:rFonts w:hint="eastAsia" w:ascii="宋体" w:hAnsi="宋体" w:cs="宋体"/>
          <w:sz w:val="24"/>
          <w:szCs w:val="24"/>
        </w:rPr>
        <w:t>（二）修正错误</w:t>
      </w:r>
      <w:bookmarkEnd w:id="272"/>
    </w:p>
    <w:p>
      <w:pPr>
        <w:spacing w:line="336" w:lineRule="auto"/>
        <w:ind w:firstLine="480" w:firstLineChars="200"/>
        <w:rPr>
          <w:rFonts w:ascii="宋体" w:hAnsi="宋体" w:cs="宋体"/>
          <w:sz w:val="24"/>
          <w:szCs w:val="24"/>
        </w:rPr>
      </w:pPr>
      <w:r>
        <w:rPr>
          <w:rFonts w:hint="eastAsia" w:ascii="宋体" w:hAnsi="宋体" w:cs="宋体"/>
          <w:sz w:val="24"/>
          <w:szCs w:val="24"/>
        </w:rPr>
        <w:t>若供应商所递交的响应文件或报价中的价格出现大写金额和小写金额不一致的错误，以大写金额修正为准。</w:t>
      </w:r>
    </w:p>
    <w:p>
      <w:pPr>
        <w:spacing w:line="336" w:lineRule="auto"/>
        <w:ind w:firstLine="480" w:firstLineChars="200"/>
        <w:rPr>
          <w:rFonts w:ascii="宋体" w:hAnsi="宋体" w:cs="宋体"/>
          <w:sz w:val="24"/>
          <w:szCs w:val="24"/>
        </w:rPr>
      </w:pPr>
      <w:r>
        <w:rPr>
          <w:rFonts w:hint="eastAsia" w:ascii="宋体" w:hAnsi="宋体" w:cs="宋体"/>
          <w:sz w:val="24"/>
          <w:szCs w:val="24"/>
        </w:rPr>
        <w:t>询价小组或采购人按上述修正错误的原则及方法修正供应商的报价，供应商同意并签署确认后，修正后的报价对供应商具有约束作用。如果供应商不接受修正后的价格，将视为无效报价。</w:t>
      </w:r>
    </w:p>
    <w:p>
      <w:pPr>
        <w:snapToGrid w:val="0"/>
        <w:spacing w:line="336" w:lineRule="auto"/>
        <w:ind w:firstLine="360" w:firstLineChars="150"/>
        <w:outlineLvl w:val="2"/>
        <w:rPr>
          <w:rFonts w:ascii="宋体" w:hAnsi="宋体" w:cs="宋体"/>
          <w:sz w:val="24"/>
          <w:szCs w:val="24"/>
        </w:rPr>
      </w:pPr>
      <w:bookmarkStart w:id="273" w:name="_Toc22520"/>
      <w:r>
        <w:rPr>
          <w:rFonts w:hint="eastAsia" w:ascii="宋体" w:hAnsi="宋体" w:cs="宋体"/>
          <w:sz w:val="24"/>
          <w:szCs w:val="24"/>
        </w:rPr>
        <w:t>（三）提交响应文件的份数和签署</w:t>
      </w:r>
      <w:bookmarkEnd w:id="273"/>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1.响应文件一式三份，其中正本一份，副本一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336" w:lineRule="auto"/>
        <w:ind w:firstLine="480" w:firstLineChars="200"/>
        <w:rPr>
          <w:rFonts w:ascii="宋体" w:hAnsi="宋体" w:cs="宋体"/>
          <w:sz w:val="24"/>
        </w:rPr>
      </w:pPr>
      <w:r>
        <w:rPr>
          <w:rFonts w:hint="eastAsia" w:ascii="宋体" w:hAnsi="宋体" w:cs="宋体"/>
          <w:sz w:val="24"/>
          <w:szCs w:val="24"/>
        </w:rPr>
        <w:t>2.</w:t>
      </w:r>
      <w:r>
        <w:rPr>
          <w:rFonts w:hint="eastAsia" w:ascii="宋体" w:hAnsi="宋体" w:cs="宋体"/>
          <w:sz w:val="24"/>
        </w:rPr>
        <w:t>在响应文件正本中，询价通知书第七篇响应文件格式中规定签署、盖章的地方必须按其规定签署、盖章。</w:t>
      </w:r>
    </w:p>
    <w:p>
      <w:pPr>
        <w:snapToGrid w:val="0"/>
        <w:spacing w:line="336" w:lineRule="auto"/>
        <w:ind w:firstLine="480" w:firstLineChars="200"/>
        <w:rPr>
          <w:rFonts w:ascii="宋体" w:hAnsi="宋体" w:cs="宋体"/>
          <w:sz w:val="24"/>
        </w:rPr>
      </w:pPr>
      <w:r>
        <w:rPr>
          <w:rFonts w:hint="eastAsia" w:ascii="宋体" w:hAnsi="宋体" w:cs="宋体"/>
          <w:sz w:val="24"/>
        </w:rPr>
        <w:t>3.若供应商对响应文件的错处作必要修改，则应在修改处加盖供应商公章或由法定代表人（或其授权代表）或自然人</w:t>
      </w:r>
      <w:r>
        <w:rPr>
          <w:rFonts w:hint="eastAsia" w:ascii="宋体" w:hAnsi="宋体" w:cs="宋体"/>
          <w:sz w:val="24"/>
          <w:szCs w:val="24"/>
        </w:rPr>
        <w:t>（供应商为自然人）签署</w:t>
      </w:r>
      <w:r>
        <w:rPr>
          <w:rFonts w:hint="eastAsia" w:ascii="宋体" w:hAnsi="宋体" w:cs="宋体"/>
          <w:sz w:val="24"/>
        </w:rPr>
        <w:t>确认。</w:t>
      </w:r>
    </w:p>
    <w:p>
      <w:pPr>
        <w:snapToGrid w:val="0"/>
        <w:spacing w:line="336" w:lineRule="auto"/>
        <w:ind w:firstLine="480" w:firstLineChars="200"/>
        <w:rPr>
          <w:rFonts w:ascii="宋体" w:hAnsi="宋体" w:cs="宋体"/>
          <w:sz w:val="24"/>
        </w:rPr>
      </w:pPr>
      <w:r>
        <w:rPr>
          <w:rFonts w:hint="eastAsia" w:ascii="宋体" w:hAnsi="宋体" w:cs="宋体"/>
          <w:sz w:val="24"/>
        </w:rPr>
        <w:t>4.电报、电话、传真形式的响应文件概不接受。</w:t>
      </w:r>
    </w:p>
    <w:p>
      <w:pPr>
        <w:snapToGrid w:val="0"/>
        <w:spacing w:line="336" w:lineRule="auto"/>
        <w:ind w:firstLine="360" w:firstLineChars="150"/>
        <w:outlineLvl w:val="2"/>
        <w:rPr>
          <w:rFonts w:ascii="宋体" w:hAnsi="宋体" w:cs="宋体"/>
          <w:sz w:val="24"/>
          <w:szCs w:val="24"/>
        </w:rPr>
      </w:pPr>
      <w:bookmarkStart w:id="274" w:name="_Toc29825"/>
      <w:r>
        <w:rPr>
          <w:rFonts w:hint="eastAsia" w:ascii="宋体" w:hAnsi="宋体" w:cs="宋体"/>
          <w:sz w:val="24"/>
          <w:szCs w:val="24"/>
        </w:rPr>
        <w:t>（五）响应文件的递交</w:t>
      </w:r>
      <w:bookmarkEnd w:id="274"/>
    </w:p>
    <w:p>
      <w:pPr>
        <w:pStyle w:val="31"/>
        <w:spacing w:line="336" w:lineRule="auto"/>
        <w:ind w:firstLine="480" w:firstLineChars="200"/>
        <w:rPr>
          <w:rFonts w:hAnsi="宋体" w:cs="宋体"/>
          <w:sz w:val="24"/>
        </w:rPr>
      </w:pPr>
      <w:r>
        <w:rPr>
          <w:rFonts w:hint="eastAsia" w:hAnsi="宋体" w:cs="宋体"/>
          <w:sz w:val="24"/>
          <w:szCs w:val="24"/>
        </w:rPr>
        <w:t>响应文件的正本、副本以及电子文档均应密封送达报价地点，应在封套上注明询价项目名称、供应商名称。若正本、副本以及电子文档分别进行密封的，还应在封套上注明“正本”、“副本”、“电子文档”字样。</w:t>
      </w:r>
    </w:p>
    <w:p>
      <w:pPr>
        <w:snapToGrid w:val="0"/>
        <w:spacing w:line="336" w:lineRule="auto"/>
        <w:ind w:firstLine="360" w:firstLineChars="150"/>
        <w:outlineLvl w:val="2"/>
        <w:rPr>
          <w:rFonts w:ascii="宋体" w:hAnsi="宋体" w:cs="宋体"/>
          <w:sz w:val="24"/>
          <w:szCs w:val="24"/>
        </w:rPr>
      </w:pPr>
      <w:bookmarkStart w:id="275" w:name="_Toc3561"/>
      <w:r>
        <w:rPr>
          <w:rFonts w:hint="eastAsia" w:ascii="宋体" w:hAnsi="宋体" w:cs="宋体"/>
          <w:sz w:val="24"/>
          <w:szCs w:val="24"/>
        </w:rPr>
        <w:t>（六）响应文件语言：简体中文</w:t>
      </w:r>
      <w:bookmarkEnd w:id="275"/>
    </w:p>
    <w:p>
      <w:pPr>
        <w:pStyle w:val="5"/>
        <w:adjustRightInd w:val="0"/>
        <w:snapToGrid w:val="0"/>
        <w:spacing w:before="0" w:after="0" w:line="336" w:lineRule="auto"/>
        <w:ind w:firstLine="482" w:firstLineChars="200"/>
        <w:rPr>
          <w:rFonts w:ascii="宋体" w:hAnsi="宋体" w:eastAsia="宋体" w:cs="宋体"/>
          <w:sz w:val="24"/>
        </w:rPr>
      </w:pPr>
      <w:bookmarkStart w:id="276" w:name="_Toc26470"/>
      <w:bookmarkStart w:id="277" w:name="_Toc8186"/>
      <w:bookmarkStart w:id="278" w:name="_Toc65660358"/>
      <w:bookmarkStart w:id="279" w:name="_Toc6242"/>
      <w:bookmarkStart w:id="280" w:name="_Toc14702"/>
      <w:bookmarkStart w:id="281" w:name="_Toc17699"/>
      <w:bookmarkStart w:id="282" w:name="_Toc24457"/>
      <w:bookmarkStart w:id="283" w:name="_Toc17443"/>
      <w:bookmarkStart w:id="284" w:name="_Toc10172"/>
      <w:bookmarkStart w:id="285" w:name="_Toc22610"/>
      <w:bookmarkStart w:id="286" w:name="_Toc116294858"/>
      <w:bookmarkStart w:id="287" w:name="_Toc28169"/>
      <w:bookmarkStart w:id="288" w:name="_Toc13636"/>
      <w:bookmarkStart w:id="289" w:name="_Toc5270"/>
      <w:bookmarkStart w:id="290" w:name="_Toc2875"/>
      <w:r>
        <w:rPr>
          <w:rFonts w:hint="eastAsia" w:ascii="宋体" w:hAnsi="宋体" w:eastAsia="宋体" w:cs="宋体"/>
          <w:sz w:val="24"/>
        </w:rPr>
        <w:t>四、成交供应商的确定和变更</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一）采购代理机构应当在评审结束后2个工作日内将评审报告送采购人确认。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报价最低的供应商为成交供应商。</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36" w:lineRule="auto"/>
        <w:ind w:firstLine="480" w:firstLineChars="200"/>
        <w:rPr>
          <w:rFonts w:ascii="宋体" w:hAnsi="宋体" w:cs="宋体"/>
          <w:sz w:val="24"/>
          <w:szCs w:val="24"/>
        </w:rPr>
      </w:pPr>
      <w:r>
        <w:rPr>
          <w:rFonts w:hint="eastAsia" w:ascii="宋体" w:hAnsi="宋体" w:cs="宋体"/>
          <w:sz w:val="24"/>
          <w:szCs w:val="24"/>
        </w:rPr>
        <w:t>2.成交供应商无充分理由放弃成交的，采购人将向同级财政部门报告，财政部门将根据相关法律法规的规定进行处理。</w:t>
      </w:r>
    </w:p>
    <w:p>
      <w:pPr>
        <w:pStyle w:val="5"/>
        <w:adjustRightInd w:val="0"/>
        <w:snapToGrid w:val="0"/>
        <w:spacing w:before="0" w:after="0" w:line="336" w:lineRule="auto"/>
        <w:ind w:firstLine="482" w:firstLineChars="200"/>
        <w:rPr>
          <w:rFonts w:ascii="宋体" w:hAnsi="宋体" w:eastAsia="宋体" w:cs="宋体"/>
          <w:sz w:val="24"/>
        </w:rPr>
      </w:pPr>
      <w:bookmarkStart w:id="291" w:name="_Toc1092"/>
      <w:bookmarkStart w:id="292" w:name="_Toc29821"/>
      <w:bookmarkStart w:id="293" w:name="_Toc10504"/>
      <w:bookmarkStart w:id="294" w:name="_Toc5341"/>
      <w:bookmarkStart w:id="295" w:name="_Toc65660359"/>
      <w:bookmarkStart w:id="296" w:name="_Toc21424"/>
      <w:bookmarkStart w:id="297" w:name="_Toc32234"/>
      <w:bookmarkStart w:id="298" w:name="_Toc5391"/>
      <w:bookmarkStart w:id="299" w:name="_Toc28439"/>
      <w:bookmarkStart w:id="300" w:name="_Toc17875"/>
      <w:bookmarkStart w:id="301" w:name="_Toc9607"/>
      <w:bookmarkStart w:id="302" w:name="_Toc18982"/>
      <w:bookmarkStart w:id="303" w:name="_Toc116294859"/>
      <w:bookmarkStart w:id="304" w:name="_Toc29837"/>
      <w:bookmarkStart w:id="305" w:name="_Toc6913"/>
      <w:r>
        <w:rPr>
          <w:rFonts w:hint="eastAsia" w:ascii="宋体" w:hAnsi="宋体" w:eastAsia="宋体" w:cs="宋体"/>
          <w:sz w:val="24"/>
        </w:rPr>
        <w:t>五、成交通知</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line="336" w:lineRule="auto"/>
        <w:ind w:firstLine="360" w:firstLineChars="150"/>
        <w:rPr>
          <w:rFonts w:ascii="宋体" w:hAnsi="宋体" w:cs="宋体"/>
          <w:sz w:val="24"/>
          <w:szCs w:val="24"/>
        </w:rPr>
      </w:pPr>
      <w:r>
        <w:rPr>
          <w:rFonts w:hint="eastAsia" w:ascii="宋体" w:hAnsi="宋体" w:cs="宋体"/>
          <w:sz w:val="24"/>
          <w:szCs w:val="24"/>
        </w:rPr>
        <w:t>（一）成交供应商确定后，采购代理机构将在重庆农业技术推广信息网（http://www.cqates.com/）上发布成交结果公告。</w:t>
      </w:r>
    </w:p>
    <w:p>
      <w:pPr>
        <w:spacing w:line="336" w:lineRule="auto"/>
        <w:ind w:firstLine="360" w:firstLineChars="150"/>
        <w:rPr>
          <w:rFonts w:ascii="宋体" w:hAnsi="宋体" w:cs="宋体"/>
          <w:sz w:val="24"/>
          <w:szCs w:val="24"/>
        </w:rPr>
      </w:pPr>
      <w:r>
        <w:rPr>
          <w:rFonts w:hint="eastAsia" w:ascii="宋体" w:hAnsi="宋体" w:cs="宋体"/>
          <w:sz w:val="24"/>
          <w:szCs w:val="24"/>
        </w:rPr>
        <w:t>（二）结果公告发出同时，采购代理机构将以书面形式发出《成交通知书》。《成交通知书》一经发出即发生法律效力。</w:t>
      </w:r>
    </w:p>
    <w:p>
      <w:pPr>
        <w:spacing w:line="336" w:lineRule="auto"/>
        <w:ind w:firstLine="360" w:firstLineChars="150"/>
        <w:rPr>
          <w:rFonts w:ascii="宋体" w:hAnsi="宋体" w:cs="宋体"/>
          <w:sz w:val="24"/>
          <w:szCs w:val="24"/>
        </w:rPr>
      </w:pPr>
      <w:r>
        <w:rPr>
          <w:rFonts w:hint="eastAsia" w:ascii="宋体" w:hAnsi="宋体" w:cs="宋体"/>
          <w:sz w:val="24"/>
          <w:szCs w:val="24"/>
        </w:rPr>
        <w:t>（三）《成交通知书》将作为签订合同的依据。</w:t>
      </w:r>
    </w:p>
    <w:p>
      <w:pPr>
        <w:pStyle w:val="5"/>
        <w:adjustRightInd w:val="0"/>
        <w:snapToGrid w:val="0"/>
        <w:spacing w:before="0" w:after="0" w:line="336" w:lineRule="auto"/>
        <w:ind w:firstLine="482" w:firstLineChars="200"/>
        <w:rPr>
          <w:rFonts w:ascii="宋体" w:hAnsi="宋体" w:eastAsia="宋体" w:cs="宋体"/>
          <w:sz w:val="24"/>
        </w:rPr>
      </w:pPr>
      <w:bookmarkStart w:id="306" w:name="_Toc65660360"/>
      <w:bookmarkStart w:id="307" w:name="_Toc15270"/>
      <w:bookmarkStart w:id="308" w:name="_Toc17218"/>
      <w:bookmarkStart w:id="309" w:name="_Toc28093"/>
      <w:bookmarkStart w:id="310" w:name="_Toc32278"/>
      <w:bookmarkStart w:id="311" w:name="_Toc30909"/>
      <w:bookmarkStart w:id="312" w:name="_Toc32085"/>
      <w:bookmarkStart w:id="313" w:name="_Toc24213"/>
      <w:bookmarkStart w:id="314" w:name="_Toc1216"/>
      <w:bookmarkStart w:id="315" w:name="_Toc1010"/>
      <w:bookmarkStart w:id="316" w:name="_Toc31082"/>
      <w:bookmarkStart w:id="317" w:name="_Toc687"/>
      <w:bookmarkStart w:id="318" w:name="_Toc26552"/>
      <w:bookmarkStart w:id="319" w:name="_Toc23843"/>
      <w:bookmarkStart w:id="320" w:name="_Toc116294860"/>
      <w:r>
        <w:rPr>
          <w:rFonts w:hint="eastAsia" w:ascii="宋体" w:hAnsi="宋体" w:eastAsia="宋体" w:cs="宋体"/>
          <w:sz w:val="24"/>
        </w:rPr>
        <w:t>六、关于质疑和投诉</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spacing w:line="336" w:lineRule="auto"/>
        <w:ind w:firstLine="360" w:firstLineChars="150"/>
        <w:outlineLvl w:val="2"/>
        <w:rPr>
          <w:rFonts w:ascii="宋体" w:hAnsi="宋体" w:cs="宋体"/>
          <w:sz w:val="24"/>
          <w:szCs w:val="24"/>
        </w:rPr>
      </w:pPr>
      <w:bookmarkStart w:id="321" w:name="_Toc27510"/>
      <w:r>
        <w:rPr>
          <w:rFonts w:hint="eastAsia" w:ascii="宋体" w:hAnsi="宋体" w:cs="宋体"/>
          <w:sz w:val="24"/>
          <w:szCs w:val="24"/>
        </w:rPr>
        <w:t>（一）质疑</w:t>
      </w:r>
      <w:bookmarkEnd w:id="321"/>
    </w:p>
    <w:p>
      <w:pPr>
        <w:spacing w:line="336" w:lineRule="auto"/>
        <w:ind w:right="12" w:firstLine="480"/>
        <w:rPr>
          <w:rFonts w:ascii="宋体" w:hAnsi="宋体" w:cs="宋体"/>
          <w:sz w:val="24"/>
        </w:rPr>
      </w:pPr>
      <w:r>
        <w:rPr>
          <w:rFonts w:hint="eastAsia" w:ascii="宋体" w:hAnsi="宋体" w:cs="宋体"/>
          <w:sz w:val="24"/>
        </w:rPr>
        <w:t>供应商认为采购文件、采购过程和成交结果使自己的权益收到伤害的，可向采购人或采购代理机构以书面形式提出质疑。</w:t>
      </w:r>
    </w:p>
    <w:p>
      <w:pPr>
        <w:spacing w:line="336" w:lineRule="auto"/>
        <w:ind w:right="12" w:firstLine="480"/>
        <w:rPr>
          <w:rFonts w:ascii="宋体" w:hAnsi="宋体" w:cs="宋体"/>
          <w:sz w:val="24"/>
        </w:rPr>
      </w:pPr>
      <w:r>
        <w:rPr>
          <w:rFonts w:hint="eastAsia" w:ascii="宋体" w:hAnsi="宋体" w:cs="宋体"/>
          <w:sz w:val="24"/>
        </w:rPr>
        <w:t xml:space="preserve">提出质疑的应当是参与所质疑项目采购活动的供应商。 </w:t>
      </w:r>
    </w:p>
    <w:p>
      <w:pPr>
        <w:spacing w:line="336" w:lineRule="auto"/>
        <w:ind w:right="12" w:firstLine="480"/>
        <w:rPr>
          <w:rFonts w:ascii="宋体" w:hAnsi="宋体" w:cs="宋体"/>
          <w:sz w:val="24"/>
        </w:rPr>
      </w:pPr>
      <w:r>
        <w:rPr>
          <w:rFonts w:hint="eastAsia" w:ascii="宋体" w:hAnsi="宋体" w:cs="宋体"/>
          <w:sz w:val="24"/>
        </w:rPr>
        <w:t>1.质疑时限、内容</w:t>
      </w:r>
    </w:p>
    <w:p>
      <w:pPr>
        <w:spacing w:line="336" w:lineRule="auto"/>
        <w:ind w:right="12" w:firstLine="480"/>
        <w:rPr>
          <w:rFonts w:ascii="宋体" w:hAnsi="宋体" w:cs="宋体"/>
          <w:sz w:val="24"/>
        </w:rPr>
      </w:pPr>
      <w:r>
        <w:rPr>
          <w:rFonts w:hint="eastAsia" w:ascii="宋体" w:hAnsi="宋体" w:cs="宋体"/>
          <w:sz w:val="24"/>
        </w:rPr>
        <w:t>1.1供应商认为采购文件、采购过程、成交结果使自己的权益受到损害的，可以在知道或者应知其权益受到损害之日起7个工作日内，以书面形式向采购人、采购代理机构提出质疑。</w:t>
      </w:r>
    </w:p>
    <w:p>
      <w:pPr>
        <w:spacing w:line="336"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36"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36" w:lineRule="auto"/>
        <w:ind w:right="12" w:firstLine="480"/>
        <w:rPr>
          <w:rFonts w:ascii="宋体" w:hAnsi="宋体" w:cs="宋体"/>
          <w:sz w:val="24"/>
        </w:rPr>
      </w:pPr>
      <w:r>
        <w:rPr>
          <w:rFonts w:hint="eastAsia" w:ascii="宋体" w:hAnsi="宋体" w:cs="宋体"/>
          <w:sz w:val="24"/>
        </w:rPr>
        <w:t>1.2.2</w:t>
      </w:r>
      <w:r>
        <w:rPr>
          <w:rFonts w:hint="eastAsia" w:ascii="宋体" w:hAnsi="宋体" w:cs="宋体"/>
          <w:sz w:val="24"/>
          <w:szCs w:val="24"/>
        </w:rPr>
        <w:t>质疑项目的项目名称、项目号以及采购执行编号</w:t>
      </w:r>
      <w:r>
        <w:rPr>
          <w:rFonts w:hint="eastAsia" w:ascii="宋体" w:hAnsi="宋体" w:cs="宋体"/>
          <w:sz w:val="24"/>
        </w:rPr>
        <w:t>；</w:t>
      </w:r>
    </w:p>
    <w:p>
      <w:pPr>
        <w:spacing w:line="336"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36" w:lineRule="auto"/>
        <w:ind w:right="12" w:firstLine="480"/>
        <w:rPr>
          <w:rFonts w:ascii="宋体" w:hAnsi="宋体" w:cs="宋体"/>
          <w:sz w:val="24"/>
        </w:rPr>
      </w:pPr>
      <w:r>
        <w:rPr>
          <w:rFonts w:hint="eastAsia" w:ascii="宋体" w:hAnsi="宋体" w:cs="宋体"/>
          <w:sz w:val="24"/>
        </w:rPr>
        <w:t>1.2.4事实依据；</w:t>
      </w:r>
    </w:p>
    <w:p>
      <w:pPr>
        <w:spacing w:line="336" w:lineRule="auto"/>
        <w:ind w:right="12" w:firstLine="480"/>
        <w:rPr>
          <w:rFonts w:ascii="宋体" w:hAnsi="宋体" w:cs="宋体"/>
          <w:sz w:val="24"/>
        </w:rPr>
      </w:pPr>
      <w:r>
        <w:rPr>
          <w:rFonts w:hint="eastAsia" w:ascii="宋体" w:hAnsi="宋体" w:cs="宋体"/>
          <w:sz w:val="24"/>
        </w:rPr>
        <w:t>1.2.5必要的法律依据；</w:t>
      </w:r>
    </w:p>
    <w:p>
      <w:pPr>
        <w:spacing w:line="336" w:lineRule="auto"/>
        <w:ind w:right="12" w:firstLine="480"/>
        <w:rPr>
          <w:rFonts w:ascii="宋体" w:hAnsi="宋体" w:cs="宋体"/>
          <w:sz w:val="24"/>
        </w:rPr>
      </w:pPr>
      <w:r>
        <w:rPr>
          <w:rFonts w:hint="eastAsia" w:ascii="宋体" w:hAnsi="宋体" w:cs="宋体"/>
          <w:sz w:val="24"/>
        </w:rPr>
        <w:t>1.2.6提出质疑的日期；</w:t>
      </w:r>
    </w:p>
    <w:p>
      <w:pPr>
        <w:spacing w:line="336"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36"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36"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36" w:lineRule="auto"/>
        <w:ind w:right="12" w:firstLine="480"/>
        <w:rPr>
          <w:rFonts w:ascii="宋体" w:hAnsi="宋体" w:cs="宋体"/>
          <w:sz w:val="24"/>
        </w:rPr>
      </w:pPr>
      <w:r>
        <w:rPr>
          <w:rFonts w:hint="eastAsia" w:ascii="宋体" w:hAnsi="宋体" w:cs="宋体"/>
          <w:sz w:val="24"/>
        </w:rPr>
        <w:t>2.质疑答复</w:t>
      </w:r>
    </w:p>
    <w:p>
      <w:pPr>
        <w:spacing w:line="336" w:lineRule="auto"/>
        <w:ind w:right="12" w:firstLine="480"/>
        <w:rPr>
          <w:rFonts w:ascii="宋体" w:hAnsi="宋体" w:cs="宋体"/>
          <w:sz w:val="24"/>
        </w:rPr>
      </w:pPr>
      <w:r>
        <w:rPr>
          <w:rFonts w:hint="eastAsia" w:ascii="宋体" w:hAnsi="宋体" w:cs="宋体"/>
          <w:sz w:val="24"/>
        </w:rPr>
        <w:t>采购人、采购代理机构应当在收到供应商的书面质疑后七个工作日内作出答复，并以书面形式通知质疑供应商和其他有关供应商。</w:t>
      </w:r>
    </w:p>
    <w:p>
      <w:pPr>
        <w:spacing w:line="336" w:lineRule="auto"/>
        <w:ind w:right="12" w:firstLine="480"/>
        <w:rPr>
          <w:rFonts w:ascii="宋体" w:hAnsi="宋体" w:cs="宋体"/>
          <w:sz w:val="24"/>
        </w:rPr>
      </w:pPr>
      <w:r>
        <w:rPr>
          <w:rFonts w:hint="eastAsia" w:ascii="宋体" w:hAnsi="宋体" w:cs="宋体"/>
          <w:sz w:val="24"/>
        </w:rPr>
        <w:t>3.其他</w:t>
      </w:r>
    </w:p>
    <w:p>
      <w:pPr>
        <w:spacing w:line="336"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36"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36" w:lineRule="auto"/>
        <w:ind w:right="12" w:firstLine="480"/>
        <w:outlineLvl w:val="2"/>
        <w:rPr>
          <w:rFonts w:ascii="宋体" w:hAnsi="宋体" w:cs="宋体"/>
          <w:sz w:val="24"/>
        </w:rPr>
      </w:pPr>
      <w:bookmarkStart w:id="322" w:name="_Toc1194"/>
      <w:r>
        <w:rPr>
          <w:rFonts w:hint="eastAsia" w:ascii="宋体" w:hAnsi="宋体" w:cs="宋体"/>
          <w:sz w:val="24"/>
        </w:rPr>
        <w:t>（二）投诉</w:t>
      </w:r>
      <w:bookmarkEnd w:id="322"/>
    </w:p>
    <w:p>
      <w:pPr>
        <w:spacing w:line="336" w:lineRule="auto"/>
        <w:ind w:right="12" w:firstLine="480"/>
        <w:rPr>
          <w:rFonts w:ascii="宋体" w:hAnsi="宋体" w:cs="宋体"/>
          <w:sz w:val="24"/>
        </w:rPr>
      </w:pPr>
      <w:r>
        <w:rPr>
          <w:rFonts w:hint="eastAsia" w:ascii="宋体" w:hAnsi="宋体" w:cs="宋体"/>
          <w:sz w:val="24"/>
        </w:rPr>
        <w:t>1.供应商对采购人、采购代理机构的答复不满意，或者采购人、采购代理机构未在规定时间内作出答复的，可以在答复期满后15个工作日内按照相关法律法规向财政部门提起投诉。</w:t>
      </w:r>
    </w:p>
    <w:p>
      <w:pPr>
        <w:spacing w:line="336"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36"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36"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5"/>
        <w:adjustRightInd w:val="0"/>
        <w:snapToGrid w:val="0"/>
        <w:spacing w:before="0" w:after="0" w:line="336" w:lineRule="auto"/>
        <w:ind w:firstLine="482" w:firstLineChars="200"/>
        <w:rPr>
          <w:rFonts w:ascii="宋体" w:hAnsi="宋体" w:eastAsia="宋体" w:cs="宋体"/>
          <w:sz w:val="24"/>
        </w:rPr>
      </w:pPr>
      <w:bookmarkStart w:id="323" w:name="_Toc65660361"/>
      <w:bookmarkStart w:id="324" w:name="_Toc27958"/>
      <w:bookmarkStart w:id="325" w:name="_Toc24168"/>
      <w:bookmarkStart w:id="326" w:name="_Toc16648"/>
      <w:bookmarkStart w:id="327" w:name="_Toc14324"/>
      <w:bookmarkStart w:id="328" w:name="_Toc25068"/>
      <w:bookmarkStart w:id="329" w:name="_Toc4778"/>
      <w:bookmarkStart w:id="330" w:name="_Toc19151"/>
      <w:bookmarkStart w:id="331" w:name="_Toc216"/>
      <w:bookmarkStart w:id="332" w:name="_Toc10769"/>
      <w:bookmarkStart w:id="333" w:name="_Toc116294861"/>
      <w:bookmarkStart w:id="334" w:name="_Toc10670"/>
      <w:bookmarkStart w:id="335" w:name="_Toc3127"/>
      <w:bookmarkStart w:id="336" w:name="_Toc23778"/>
      <w:bookmarkStart w:id="337" w:name="_Toc12046"/>
      <w:r>
        <w:rPr>
          <w:rFonts w:hint="eastAsia" w:ascii="宋体" w:hAnsi="宋体" w:eastAsia="宋体" w:cs="宋体"/>
          <w:sz w:val="24"/>
        </w:rPr>
        <w:t>七、签订合同</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336" w:lineRule="auto"/>
        <w:ind w:firstLine="360" w:firstLineChars="150"/>
        <w:rPr>
          <w:rFonts w:ascii="宋体" w:hAnsi="宋体" w:cs="宋体"/>
          <w:sz w:val="24"/>
          <w:szCs w:val="24"/>
        </w:rPr>
      </w:pPr>
      <w:r>
        <w:rPr>
          <w:rFonts w:hint="eastAsia" w:ascii="宋体" w:hAnsi="宋体" w:cs="宋体"/>
          <w:sz w:val="24"/>
          <w:szCs w:val="24"/>
        </w:rPr>
        <w:t>（一）</w:t>
      </w:r>
      <w:r>
        <w:rPr>
          <w:rFonts w:hint="eastAsia" w:ascii="宋体" w:hAnsi="宋体" w:cs="宋体"/>
          <w:sz w:val="24"/>
        </w:rPr>
        <w:t>采购人原则上应在成交通知书发出之日起二十日内和成交供应商签订政府采购合同，无正当理由不得拒绝或拖延合同签订</w:t>
      </w:r>
      <w:r>
        <w:rPr>
          <w:rFonts w:hint="eastAsia" w:ascii="宋体" w:hAnsi="宋体" w:cs="宋体"/>
          <w:sz w:val="24"/>
          <w:szCs w:val="24"/>
        </w:rPr>
        <w:t>。所签订的合同不得对询价通知书和供应商的响应文件作实质性修改。其他未尽事宜由采购人和成交供应商在采购合同中详细约定。</w:t>
      </w:r>
    </w:p>
    <w:p>
      <w:pPr>
        <w:spacing w:line="336" w:lineRule="auto"/>
        <w:ind w:firstLine="360" w:firstLineChars="150"/>
        <w:rPr>
          <w:rFonts w:ascii="宋体" w:hAnsi="宋体" w:cs="宋体"/>
          <w:sz w:val="24"/>
          <w:szCs w:val="24"/>
        </w:rPr>
      </w:pPr>
      <w:r>
        <w:rPr>
          <w:rFonts w:hint="eastAsia" w:ascii="宋体" w:hAnsi="宋体" w:cs="宋体"/>
          <w:sz w:val="24"/>
          <w:szCs w:val="24"/>
        </w:rPr>
        <w:t>（二）</w:t>
      </w:r>
      <w:r>
        <w:rPr>
          <w:rFonts w:hint="eastAsia" w:ascii="宋体" w:hAnsi="宋体" w:cs="宋体"/>
          <w:sz w:val="24"/>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spacing w:line="336" w:lineRule="auto"/>
        <w:ind w:firstLine="360" w:firstLineChars="150"/>
        <w:rPr>
          <w:rFonts w:ascii="宋体" w:hAnsi="宋体" w:cs="宋体"/>
          <w:sz w:val="24"/>
          <w:szCs w:val="24"/>
        </w:rPr>
      </w:pPr>
      <w:r>
        <w:rPr>
          <w:rFonts w:hint="eastAsia" w:ascii="宋体" w:hAnsi="宋体" w:cs="宋体"/>
          <w:sz w:val="24"/>
          <w:szCs w:val="24"/>
        </w:rPr>
        <w:t>（三）询价通知书、供应商的响应文件及澄清文件等，均为签订政府采购合同的依据。</w:t>
      </w:r>
    </w:p>
    <w:p>
      <w:pPr>
        <w:spacing w:line="336" w:lineRule="auto"/>
        <w:ind w:firstLine="360" w:firstLineChars="150"/>
        <w:rPr>
          <w:rFonts w:ascii="宋体" w:hAnsi="宋体" w:cs="宋体"/>
          <w:sz w:val="24"/>
          <w:szCs w:val="24"/>
        </w:rPr>
      </w:pPr>
      <w:r>
        <w:rPr>
          <w:rFonts w:hint="eastAsia" w:ascii="宋体" w:hAnsi="宋体" w:cs="宋体"/>
          <w:sz w:val="24"/>
          <w:szCs w:val="24"/>
        </w:rPr>
        <w:t>（四）合同生效条款由供需双方约定，法律、行政法规规定应当办理批准、登记等手续后生效的合同，依照其规定。</w:t>
      </w:r>
    </w:p>
    <w:p>
      <w:pPr>
        <w:spacing w:line="336" w:lineRule="auto"/>
        <w:ind w:firstLine="360" w:firstLineChars="150"/>
        <w:rPr>
          <w:rFonts w:ascii="宋体" w:hAnsi="宋体" w:cs="宋体"/>
          <w:sz w:val="24"/>
          <w:szCs w:val="24"/>
        </w:rPr>
      </w:pPr>
      <w:r>
        <w:rPr>
          <w:rFonts w:hint="eastAsia" w:ascii="宋体" w:hAnsi="宋体" w:cs="宋体"/>
          <w:sz w:val="24"/>
          <w:szCs w:val="24"/>
        </w:rPr>
        <w:t>（五）合同原则上应按照《重庆市政府采购合同》签订，相关单位要求适用合同通用格式版本的，应按其要求另行签订其他合同。</w:t>
      </w:r>
    </w:p>
    <w:p>
      <w:pPr>
        <w:spacing w:line="336" w:lineRule="auto"/>
        <w:ind w:firstLine="360" w:firstLineChars="150"/>
        <w:rPr>
          <w:rFonts w:ascii="宋体" w:hAnsi="宋体" w:cs="宋体"/>
          <w:sz w:val="24"/>
          <w:szCs w:val="24"/>
        </w:rPr>
      </w:pPr>
      <w:r>
        <w:rPr>
          <w:rFonts w:hint="eastAsia" w:ascii="宋体" w:hAnsi="宋体" w:cs="宋体"/>
          <w:sz w:val="24"/>
          <w:szCs w:val="24"/>
        </w:rPr>
        <w:t>（六）采购人要求成交供应商提供履约保证金的，应当在询价通知书中予以约定。成交供应商履约完毕后，采购人根据采购文件规定无息退还其履约保证金。</w:t>
      </w:r>
    </w:p>
    <w:p>
      <w:pPr>
        <w:pStyle w:val="5"/>
        <w:adjustRightInd w:val="0"/>
        <w:snapToGrid w:val="0"/>
        <w:spacing w:before="0" w:after="0" w:line="336" w:lineRule="auto"/>
        <w:ind w:firstLine="482" w:firstLineChars="200"/>
        <w:rPr>
          <w:rFonts w:ascii="宋体" w:hAnsi="宋体" w:eastAsia="宋体" w:cs="宋体"/>
          <w:sz w:val="24"/>
        </w:rPr>
      </w:pPr>
      <w:bookmarkStart w:id="338" w:name="_Toc17081"/>
      <w:bookmarkStart w:id="339" w:name="_Toc8529"/>
      <w:bookmarkStart w:id="340" w:name="_Toc2431"/>
      <w:bookmarkStart w:id="341" w:name="_Toc10359"/>
      <w:bookmarkStart w:id="342" w:name="_Toc77"/>
      <w:bookmarkStart w:id="343" w:name="_Toc2979"/>
      <w:bookmarkStart w:id="344" w:name="_Toc31962"/>
      <w:bookmarkStart w:id="345" w:name="_Toc116294862"/>
      <w:bookmarkStart w:id="346" w:name="_Toc17758"/>
      <w:bookmarkStart w:id="347" w:name="_Toc5283"/>
      <w:bookmarkStart w:id="348" w:name="_Toc19161"/>
      <w:bookmarkStart w:id="349" w:name="_Toc16719"/>
      <w:r>
        <w:rPr>
          <w:rFonts w:hint="eastAsia" w:ascii="宋体" w:hAnsi="宋体" w:eastAsia="宋体" w:cs="宋体"/>
          <w:sz w:val="24"/>
        </w:rPr>
        <w:t>八、项目验收</w:t>
      </w:r>
      <w:bookmarkEnd w:id="338"/>
      <w:bookmarkEnd w:id="339"/>
      <w:bookmarkEnd w:id="340"/>
      <w:bookmarkEnd w:id="341"/>
      <w:bookmarkEnd w:id="342"/>
      <w:bookmarkEnd w:id="343"/>
      <w:bookmarkEnd w:id="344"/>
      <w:bookmarkEnd w:id="345"/>
      <w:bookmarkEnd w:id="346"/>
      <w:bookmarkEnd w:id="347"/>
      <w:bookmarkEnd w:id="348"/>
      <w:bookmarkEnd w:id="349"/>
    </w:p>
    <w:p>
      <w:pPr>
        <w:spacing w:line="336" w:lineRule="auto"/>
        <w:ind w:firstLine="360" w:firstLineChars="150"/>
        <w:rPr>
          <w:rFonts w:ascii="宋体" w:hAnsi="宋体" w:cs="宋体"/>
          <w:sz w:val="24"/>
          <w:szCs w:val="24"/>
        </w:rPr>
      </w:pPr>
      <w:r>
        <w:rPr>
          <w:rFonts w:hint="eastAsia" w:ascii="宋体" w:hAnsi="宋体" w:cs="宋体"/>
          <w:sz w:val="24"/>
        </w:rPr>
        <w:t>合同执行完毕，采购人或采购代理机构原则上应在7个工作日内组织履约情况验收，不得无故拖延或附加额外条件。</w:t>
      </w:r>
    </w:p>
    <w:p>
      <w:pPr>
        <w:pStyle w:val="5"/>
        <w:adjustRightInd w:val="0"/>
        <w:snapToGrid w:val="0"/>
        <w:spacing w:before="0" w:after="0" w:line="400" w:lineRule="exact"/>
        <w:ind w:firstLine="482" w:firstLineChars="200"/>
        <w:rPr>
          <w:rFonts w:ascii="宋体" w:hAnsi="宋体" w:eastAsia="宋体" w:cs="宋体"/>
          <w:sz w:val="24"/>
        </w:rPr>
      </w:pPr>
      <w:bookmarkStart w:id="350" w:name="_Toc19916"/>
      <w:bookmarkStart w:id="351" w:name="_Toc116294863"/>
      <w:bookmarkStart w:id="352" w:name="_Toc26534"/>
      <w:bookmarkStart w:id="353" w:name="_Toc29513"/>
      <w:bookmarkStart w:id="354" w:name="_Toc25854"/>
      <w:bookmarkStart w:id="355" w:name="_Toc17204"/>
      <w:bookmarkStart w:id="356" w:name="_Toc1609"/>
      <w:bookmarkStart w:id="357" w:name="_Toc32594"/>
      <w:bookmarkStart w:id="358" w:name="_Toc28053"/>
      <w:bookmarkStart w:id="359" w:name="_Toc6700"/>
      <w:bookmarkStart w:id="360" w:name="_Toc2438"/>
      <w:bookmarkStart w:id="361" w:name="_Toc16484"/>
      <w:bookmarkStart w:id="362" w:name="_Toc65660362"/>
      <w:bookmarkStart w:id="363" w:name="_Toc17334"/>
      <w:bookmarkStart w:id="364" w:name="_Toc32369"/>
      <w:r>
        <w:rPr>
          <w:rFonts w:hint="eastAsia" w:ascii="宋体" w:hAnsi="宋体" w:eastAsia="宋体" w:cs="宋体"/>
          <w:sz w:val="24"/>
        </w:rPr>
        <w:t>九、采购代理服务费</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snapToGrid w:val="0"/>
        <w:spacing w:line="360" w:lineRule="auto"/>
        <w:ind w:firstLine="480" w:firstLineChars="200"/>
        <w:rPr>
          <w:rFonts w:ascii="宋体" w:hAnsi="宋体" w:cs="宋体"/>
          <w:sz w:val="24"/>
          <w:szCs w:val="24"/>
        </w:rPr>
      </w:pPr>
      <w:bookmarkStart w:id="365" w:name="_Toc9730"/>
      <w:bookmarkStart w:id="366" w:name="_Toc4867"/>
      <w:bookmarkStart w:id="367" w:name="_Toc15521"/>
      <w:bookmarkStart w:id="368" w:name="_Toc65660363"/>
      <w:bookmarkStart w:id="369" w:name="_Toc1433"/>
      <w:bookmarkStart w:id="370" w:name="_Toc1288"/>
      <w:bookmarkStart w:id="371" w:name="_Toc17438"/>
      <w:bookmarkStart w:id="372" w:name="_Toc26922"/>
      <w:bookmarkStart w:id="373" w:name="_Toc19111"/>
      <w:bookmarkStart w:id="374" w:name="_Toc4790"/>
      <w:bookmarkStart w:id="375" w:name="_Toc30575"/>
      <w:bookmarkStart w:id="376" w:name="_Toc116294864"/>
      <w:bookmarkStart w:id="377" w:name="_Toc19179"/>
      <w:bookmarkStart w:id="378" w:name="_Toc17923"/>
      <w:bookmarkStart w:id="379" w:name="_Toc20836"/>
      <w:r>
        <w:rPr>
          <w:rFonts w:hint="eastAsia" w:ascii="宋体" w:hAnsi="宋体" w:cs="宋体"/>
          <w:sz w:val="24"/>
          <w:szCs w:val="24"/>
        </w:rPr>
        <w:t>成交供应商在领取成交通知书前，向采购代理机构缴纳采购代理服务费，采购代理服务费每个包号收取标准按照以下标准执行，不足4000元的按4000元收取。</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810" w:type="dxa"/>
            <w:tcBorders>
              <w:tl2br w:val="single" w:color="auto" w:sz="4" w:space="0"/>
            </w:tcBorders>
            <w:noWrap/>
          </w:tcPr>
          <w:p>
            <w:pPr>
              <w:spacing w:line="360" w:lineRule="auto"/>
              <w:ind w:firstLine="960" w:firstLineChars="400"/>
              <w:rPr>
                <w:rFonts w:ascii="宋体" w:hAnsi="宋体" w:cs="宋体"/>
                <w:sz w:val="24"/>
              </w:rPr>
            </w:pPr>
            <w:r>
              <w:rPr>
                <w:rFonts w:ascii="宋体" w:hAnsi="宋体" w:cs="宋体"/>
                <w:sz w:val="24"/>
              </w:rPr>
              <w:pict>
                <v:line id="_x0000_s2050" o:spid="_x0000_s2050" o:spt="20" style="position:absolute;left:0pt;margin-left:-8.95pt;margin-top:-0.45pt;height:0.45pt;width:1.1pt;z-index:251659264;mso-width-relative:page;mso-height-relative:page;" coordsize="21600,21600" o:allowincell="f"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5UvetQAAAAGAQAADwAAAAAAAAABACAAAAAiAAAAZHJzL2Rvd25yZXYueG1sUEsB&#10;AhQAFAAAAAgAh07iQMANPo75AQAA8wMAAA4AAAAAAAAAAQAgAAAAIwEAAGRycy9lMm9Eb2MueG1s&#10;UEsFBgAAAAAGAAYAWQEAAI4FAAAAAA==&#10;">
                  <v:path arrowok="t"/>
                  <v:fill focussize="0,0"/>
                  <v:stroke/>
                  <v:imagedata o:title=""/>
                  <o:lock v:ext="edit"/>
                </v:line>
              </w:pict>
            </w:r>
            <w:r>
              <w:rPr>
                <w:rFonts w:hint="eastAsia" w:ascii="宋体" w:hAnsi="宋体" w:cs="宋体"/>
                <w:sz w:val="24"/>
              </w:rPr>
              <w:t>采购类型       成交金额（万元）</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货物采购</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服务采购</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100以下</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1.5%</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1.5%</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100-500</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1.1%</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0.8%</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500-1000</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0.8%</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0.45%</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1000-5000</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0.5%</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0.25%</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5000-10000</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0.25%</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0.1%</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10000-100000</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0.05%</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0.05%</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0" w:type="dxa"/>
            <w:noWrap/>
            <w:vAlign w:val="center"/>
          </w:tcPr>
          <w:p>
            <w:pPr>
              <w:spacing w:line="360" w:lineRule="auto"/>
              <w:ind w:firstLine="480" w:firstLineChars="200"/>
              <w:rPr>
                <w:rFonts w:ascii="宋体" w:hAnsi="宋体" w:cs="宋体"/>
                <w:sz w:val="24"/>
              </w:rPr>
            </w:pPr>
            <w:r>
              <w:rPr>
                <w:rFonts w:hint="eastAsia" w:ascii="宋体" w:hAnsi="宋体" w:cs="宋体"/>
                <w:sz w:val="24"/>
              </w:rPr>
              <w:t>1000000以上</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0.01%</w:t>
            </w:r>
          </w:p>
        </w:tc>
        <w:tc>
          <w:tcPr>
            <w:tcW w:w="2273" w:type="dxa"/>
            <w:noWrap/>
            <w:vAlign w:val="center"/>
          </w:tcPr>
          <w:p>
            <w:pPr>
              <w:spacing w:line="360" w:lineRule="auto"/>
              <w:ind w:firstLine="480" w:firstLineChars="200"/>
              <w:rPr>
                <w:rFonts w:ascii="宋体" w:hAnsi="宋体" w:cs="宋体"/>
                <w:sz w:val="24"/>
              </w:rPr>
            </w:pPr>
            <w:r>
              <w:rPr>
                <w:rFonts w:hint="eastAsia" w:ascii="宋体" w:hAnsi="宋体" w:cs="宋体"/>
                <w:sz w:val="24"/>
              </w:rPr>
              <w:t>0.01%</w:t>
            </w:r>
          </w:p>
        </w:tc>
        <w:tc>
          <w:tcPr>
            <w:tcW w:w="2272" w:type="dxa"/>
            <w:noWrap/>
            <w:vAlign w:val="center"/>
          </w:tcPr>
          <w:p>
            <w:pPr>
              <w:spacing w:line="360" w:lineRule="auto"/>
              <w:ind w:firstLine="480" w:firstLineChars="200"/>
              <w:rPr>
                <w:rFonts w:ascii="宋体" w:hAnsi="宋体" w:cs="宋体"/>
                <w:sz w:val="24"/>
              </w:rPr>
            </w:pPr>
            <w:r>
              <w:rPr>
                <w:rFonts w:hint="eastAsia" w:ascii="宋体" w:hAnsi="宋体" w:cs="宋体"/>
                <w:sz w:val="24"/>
              </w:rPr>
              <w:t>0.01%</w:t>
            </w:r>
          </w:p>
        </w:tc>
      </w:tr>
    </w:tbl>
    <w:p>
      <w:pPr>
        <w:snapToGrid w:val="0"/>
        <w:spacing w:line="360" w:lineRule="auto"/>
        <w:ind w:firstLine="480" w:firstLineChars="200"/>
        <w:rPr>
          <w:rFonts w:ascii="宋体" w:hAnsi="宋体" w:cs="宋体"/>
          <w:sz w:val="24"/>
          <w:szCs w:val="24"/>
        </w:rPr>
      </w:pPr>
      <w:r>
        <w:rPr>
          <w:rFonts w:hint="eastAsia" w:ascii="宋体" w:hAnsi="宋体" w:cs="宋体"/>
          <w:sz w:val="24"/>
          <w:szCs w:val="24"/>
        </w:rPr>
        <w:t>注：采购代理服务收费按差额定率累进法计算。例如：某货物采购代理业务成交金额为6000万元，计算采购代理服务收费额如下：</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100万元×1.5%=1.5万元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（500-100）万元×1.1%=4.4万元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（1000-500）×0.8%=4万元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（5000-1000）×0.5%=20万元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（6000-5000）×0.25%=2.5万元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合计收费=1.5+4.4+4+20+2.5=32.4（万元）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1）服务费以现金、转账等形式支付。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2）成交供应商如未按上述规定缴付采购代理服务费，其保证金将不予退还。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2、采购代理服务费缴纳账号：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户  名：重庆优凯项目管理有限公司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开户行：中国工商银行股份有限公司重庆金开支行</w:t>
      </w:r>
    </w:p>
    <w:p>
      <w:pPr>
        <w:pStyle w:val="194"/>
        <w:spacing w:line="360" w:lineRule="auto"/>
        <w:ind w:firstLine="480" w:firstLineChars="200"/>
        <w:rPr>
          <w:rFonts w:hAnsi="宋体"/>
          <w:sz w:val="24"/>
          <w:szCs w:val="24"/>
        </w:rPr>
      </w:pPr>
      <w:r>
        <w:rPr>
          <w:rFonts w:hint="eastAsia" w:hAnsi="宋体"/>
          <w:sz w:val="24"/>
          <w:szCs w:val="24"/>
        </w:rPr>
        <w:t>账  号：3100087409100060073</w:t>
      </w:r>
    </w:p>
    <w:p>
      <w:pPr>
        <w:pStyle w:val="5"/>
        <w:adjustRightInd w:val="0"/>
        <w:snapToGrid w:val="0"/>
        <w:spacing w:before="0" w:after="0" w:line="360" w:lineRule="auto"/>
        <w:ind w:firstLine="482" w:firstLineChars="200"/>
        <w:rPr>
          <w:rFonts w:ascii="宋体" w:hAnsi="宋体" w:eastAsia="宋体" w:cs="宋体"/>
          <w:sz w:val="24"/>
        </w:rPr>
      </w:pPr>
      <w:r>
        <w:rPr>
          <w:rFonts w:hint="eastAsia" w:ascii="宋体" w:hAnsi="宋体" w:eastAsia="宋体" w:cs="宋体"/>
          <w:sz w:val="24"/>
        </w:rPr>
        <w:t>十、</w:t>
      </w:r>
      <w:bookmarkEnd w:id="365"/>
      <w:bookmarkEnd w:id="366"/>
      <w:bookmarkEnd w:id="367"/>
      <w:bookmarkEnd w:id="368"/>
      <w:bookmarkStart w:id="380" w:name="_Toc31595"/>
      <w:bookmarkStart w:id="381" w:name="_Toc18609"/>
      <w:bookmarkStart w:id="382" w:name="_Toc65660364"/>
      <w:bookmarkStart w:id="383" w:name="_Toc1715"/>
      <w:r>
        <w:rPr>
          <w:rFonts w:hint="eastAsia" w:ascii="宋体" w:hAnsi="宋体" w:eastAsia="宋体" w:cs="宋体"/>
          <w:sz w:val="24"/>
        </w:rPr>
        <w:t>政府采购信用融资</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spacing w:line="360" w:lineRule="auto"/>
        <w:ind w:firstLine="480" w:firstLineChars="200"/>
        <w:rPr>
          <w:rFonts w:ascii="宋体" w:hAnsi="宋体" w:cs="宋体"/>
          <w:kern w:val="0"/>
          <w:sz w:val="21"/>
          <w:szCs w:val="21"/>
        </w:rPr>
      </w:pPr>
      <w:r>
        <w:rPr>
          <w:rFonts w:hint="eastAsia" w:ascii="宋体" w:hAnsi="宋体" w:cs="宋体"/>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r>
        <w:rPr>
          <w:rFonts w:hint="eastAsia" w:ascii="宋体" w:hAnsi="宋体" w:cs="宋体"/>
          <w:kern w:val="0"/>
          <w:sz w:val="21"/>
          <w:szCs w:val="21"/>
        </w:rPr>
        <w:br w:type="page"/>
      </w:r>
    </w:p>
    <w:p>
      <w:pPr>
        <w:pStyle w:val="2"/>
        <w:spacing w:after="0"/>
        <w:rPr>
          <w:rFonts w:ascii="宋体" w:hAnsi="宋体" w:cs="宋体"/>
        </w:rPr>
      </w:pPr>
    </w:p>
    <w:p>
      <w:pPr>
        <w:pStyle w:val="5"/>
        <w:spacing w:before="0" w:after="0" w:line="360" w:lineRule="auto"/>
        <w:jc w:val="center"/>
        <w:rPr>
          <w:rFonts w:ascii="宋体" w:hAnsi="宋体" w:eastAsia="宋体" w:cs="宋体"/>
          <w:b w:val="0"/>
          <w:sz w:val="36"/>
          <w:szCs w:val="30"/>
        </w:rPr>
      </w:pPr>
      <w:bookmarkStart w:id="384" w:name="_Toc12789059"/>
      <w:bookmarkStart w:id="385" w:name="_Toc11641055"/>
      <w:bookmarkStart w:id="386" w:name="_Toc7338"/>
      <w:bookmarkStart w:id="387" w:name="_Toc65660365"/>
      <w:bookmarkStart w:id="388" w:name="_Toc116294865"/>
      <w:bookmarkStart w:id="389" w:name="_Toc25674"/>
      <w:bookmarkStart w:id="390" w:name="_Toc18647"/>
      <w:bookmarkStart w:id="391" w:name="_Toc28162"/>
      <w:bookmarkStart w:id="392" w:name="_Toc12966"/>
      <w:bookmarkStart w:id="393" w:name="_Toc14861"/>
      <w:bookmarkStart w:id="394" w:name="_Toc8688"/>
      <w:bookmarkStart w:id="395" w:name="_Toc22464"/>
      <w:bookmarkStart w:id="396" w:name="_Toc7240"/>
      <w:bookmarkStart w:id="397" w:name="_Toc28749"/>
      <w:bookmarkStart w:id="398" w:name="_Toc26017"/>
      <w:bookmarkStart w:id="399" w:name="_Toc20935"/>
      <w:bookmarkStart w:id="400" w:name="_Toc10599"/>
      <w:r>
        <w:rPr>
          <w:rFonts w:hint="eastAsia" w:ascii="宋体" w:hAnsi="宋体" w:eastAsia="宋体" w:cs="宋体"/>
          <w:bCs/>
          <w:sz w:val="36"/>
          <w:szCs w:val="30"/>
        </w:rPr>
        <w:t xml:space="preserve">第六篇  </w:t>
      </w:r>
      <w:bookmarkEnd w:id="384"/>
      <w:bookmarkEnd w:id="385"/>
      <w:r>
        <w:rPr>
          <w:rFonts w:hint="eastAsia" w:ascii="宋体" w:hAnsi="宋体" w:eastAsia="宋体" w:cs="宋体"/>
          <w:bCs/>
          <w:sz w:val="36"/>
          <w:szCs w:val="30"/>
        </w:rPr>
        <w:t>合同草案条款</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rPr>
          <w:rFonts w:ascii="宋体" w:hAnsi="宋体" w:cs="宋体"/>
          <w:b/>
          <w:bCs/>
          <w:kern w:val="0"/>
          <w:sz w:val="44"/>
          <w:szCs w:val="44"/>
        </w:rPr>
      </w:pPr>
      <w:r>
        <w:rPr>
          <w:rFonts w:hint="eastAsia" w:ascii="宋体" w:hAnsi="宋体" w:cs="宋体"/>
          <w:b/>
          <w:bCs/>
          <w:kern w:val="0"/>
          <w:sz w:val="44"/>
          <w:szCs w:val="44"/>
        </w:rPr>
        <w:br w:type="page"/>
      </w:r>
    </w:p>
    <w:bookmarkEnd w:id="160"/>
    <w:bookmarkEnd w:id="161"/>
    <w:p>
      <w:pPr>
        <w:rPr>
          <w:rFonts w:ascii="宋体" w:hAnsi="宋体" w:cs="宋体"/>
          <w:sz w:val="24"/>
        </w:rPr>
      </w:pPr>
      <w:bookmarkStart w:id="401" w:name="_Toc303945820"/>
      <w:bookmarkStart w:id="402" w:name="_Toc148265480"/>
      <w:r>
        <w:rPr>
          <w:rFonts w:hint="eastAsia" w:ascii="宋体" w:hAnsi="宋体" w:cs="宋体"/>
          <w:sz w:val="24"/>
        </w:rPr>
        <w:t>附页：合同格式</w:t>
      </w:r>
      <w:bookmarkEnd w:id="401"/>
      <w:bookmarkEnd w:id="402"/>
    </w:p>
    <w:p>
      <w:pPr>
        <w:tabs>
          <w:tab w:val="left" w:pos="9000"/>
        </w:tabs>
        <w:spacing w:line="276" w:lineRule="auto"/>
        <w:jc w:val="center"/>
        <w:rPr>
          <w:rFonts w:ascii="宋体" w:hAnsi="宋体" w:cs="宋体"/>
        </w:rPr>
      </w:pPr>
    </w:p>
    <w:p>
      <w:pPr>
        <w:tabs>
          <w:tab w:val="left" w:pos="9000"/>
        </w:tabs>
        <w:spacing w:line="276" w:lineRule="auto"/>
        <w:jc w:val="center"/>
        <w:rPr>
          <w:rFonts w:ascii="宋体" w:hAnsi="宋体" w:cs="宋体"/>
        </w:rPr>
      </w:pPr>
    </w:p>
    <w:p>
      <w:pPr>
        <w:spacing w:line="500" w:lineRule="exact"/>
        <w:jc w:val="center"/>
        <w:outlineLvl w:val="1"/>
        <w:rPr>
          <w:rFonts w:ascii="宋体" w:hAnsi="宋体" w:cs="宋体"/>
          <w:b/>
          <w:sz w:val="44"/>
        </w:rPr>
      </w:pPr>
      <w:bookmarkStart w:id="403" w:name="_Toc11993"/>
      <w:bookmarkStart w:id="404" w:name="_Toc17835"/>
      <w:r>
        <w:rPr>
          <w:rFonts w:hint="eastAsia" w:ascii="宋体" w:hAnsi="宋体" w:cs="宋体"/>
          <w:b/>
          <w:sz w:val="44"/>
        </w:rPr>
        <w:t>重庆市政府采购购销合同</w:t>
      </w:r>
      <w:bookmarkEnd w:id="403"/>
      <w:bookmarkEnd w:id="404"/>
    </w:p>
    <w:p>
      <w:pPr>
        <w:spacing w:line="500" w:lineRule="exact"/>
        <w:jc w:val="center"/>
        <w:outlineLvl w:val="1"/>
        <w:rPr>
          <w:rFonts w:ascii="宋体" w:hAnsi="宋体" w:cs="宋体"/>
          <w:sz w:val="36"/>
          <w:szCs w:val="36"/>
        </w:rPr>
      </w:pPr>
      <w:bookmarkStart w:id="405" w:name="_Toc21727"/>
      <w:bookmarkStart w:id="406" w:name="_Toc11440"/>
      <w:r>
        <w:rPr>
          <w:rFonts w:hint="eastAsia" w:ascii="宋体" w:hAnsi="宋体" w:cs="宋体"/>
          <w:sz w:val="36"/>
          <w:szCs w:val="36"/>
        </w:rPr>
        <w:t>（询价）</w:t>
      </w:r>
      <w:bookmarkEnd w:id="405"/>
      <w:bookmarkEnd w:id="406"/>
    </w:p>
    <w:p>
      <w:pPr>
        <w:spacing w:line="500" w:lineRule="exact"/>
        <w:jc w:val="center"/>
        <w:outlineLvl w:val="1"/>
        <w:rPr>
          <w:rFonts w:ascii="宋体" w:hAnsi="宋体" w:cs="宋体"/>
        </w:rPr>
      </w:pPr>
      <w:bookmarkStart w:id="407" w:name="_Toc25911"/>
      <w:bookmarkStart w:id="408" w:name="_Toc9106"/>
      <w:r>
        <w:rPr>
          <w:rFonts w:hint="eastAsia" w:ascii="宋体" w:hAnsi="宋体" w:cs="宋体"/>
        </w:rPr>
        <w:t>（项目号：     ）</w:t>
      </w:r>
      <w:bookmarkEnd w:id="407"/>
      <w:bookmarkEnd w:id="408"/>
    </w:p>
    <w:p>
      <w:pPr>
        <w:spacing w:line="500" w:lineRule="exact"/>
        <w:rPr>
          <w:rFonts w:ascii="宋体" w:hAnsi="宋体" w:cs="宋体"/>
          <w:sz w:val="24"/>
        </w:rPr>
      </w:pPr>
      <w:r>
        <w:rPr>
          <w:rFonts w:hint="eastAsia" w:ascii="宋体" w:hAnsi="宋体" w:cs="宋体"/>
          <w:sz w:val="24"/>
        </w:rPr>
        <w:t>甲方（需方）：___________________________      计价单位：____________</w:t>
      </w:r>
    </w:p>
    <w:p>
      <w:pPr>
        <w:spacing w:line="500" w:lineRule="exact"/>
        <w:rPr>
          <w:rFonts w:ascii="宋体" w:hAnsi="宋体" w:cs="宋体"/>
          <w:sz w:val="24"/>
        </w:rPr>
      </w:pPr>
      <w:r>
        <w:rPr>
          <w:rFonts w:hint="eastAsia" w:ascii="宋体" w:hAnsi="宋体" w:cs="宋体"/>
          <w:sz w:val="24"/>
        </w:rPr>
        <w:t>乙方（供方）：___________________________      计量单位：_____________</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经双方协商一致，达成以下购销合同：</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ign w:val="center"/>
          </w:tcPr>
          <w:p>
            <w:pPr>
              <w:spacing w:line="500" w:lineRule="exact"/>
              <w:jc w:val="center"/>
              <w:rPr>
                <w:rFonts w:ascii="宋体" w:hAnsi="宋体" w:cs="宋体"/>
                <w:sz w:val="24"/>
              </w:rPr>
            </w:pPr>
            <w:r>
              <w:rPr>
                <w:rFonts w:hint="eastAsia" w:ascii="宋体" w:hAnsi="宋体" w:cs="宋体"/>
                <w:sz w:val="24"/>
              </w:rPr>
              <w:t>商品名称</w:t>
            </w:r>
          </w:p>
        </w:tc>
        <w:tc>
          <w:tcPr>
            <w:tcW w:w="1741" w:type="dxa"/>
            <w:noWrap/>
            <w:vAlign w:val="center"/>
          </w:tcPr>
          <w:p>
            <w:pPr>
              <w:spacing w:line="500" w:lineRule="exact"/>
              <w:jc w:val="center"/>
              <w:rPr>
                <w:rFonts w:ascii="宋体" w:hAnsi="宋体" w:cs="宋体"/>
                <w:sz w:val="24"/>
              </w:rPr>
            </w:pPr>
            <w:r>
              <w:rPr>
                <w:rFonts w:hint="eastAsia" w:ascii="宋体" w:hAnsi="宋体" w:cs="宋体"/>
                <w:sz w:val="24"/>
              </w:rPr>
              <w:t>规格型号</w:t>
            </w:r>
          </w:p>
        </w:tc>
        <w:tc>
          <w:tcPr>
            <w:tcW w:w="984" w:type="dxa"/>
            <w:noWrap/>
            <w:vAlign w:val="center"/>
          </w:tcPr>
          <w:p>
            <w:pPr>
              <w:spacing w:line="500" w:lineRule="exact"/>
              <w:jc w:val="center"/>
              <w:rPr>
                <w:rFonts w:ascii="宋体" w:hAnsi="宋体" w:cs="宋体"/>
                <w:sz w:val="24"/>
              </w:rPr>
            </w:pPr>
            <w:r>
              <w:rPr>
                <w:rFonts w:hint="eastAsia" w:ascii="宋体" w:hAnsi="宋体" w:cs="宋体"/>
                <w:sz w:val="24"/>
              </w:rPr>
              <w:t>数量</w:t>
            </w:r>
          </w:p>
        </w:tc>
        <w:tc>
          <w:tcPr>
            <w:tcW w:w="873" w:type="dxa"/>
            <w:noWrap/>
            <w:vAlign w:val="center"/>
          </w:tcPr>
          <w:p>
            <w:pPr>
              <w:spacing w:line="500" w:lineRule="exact"/>
              <w:jc w:val="center"/>
              <w:rPr>
                <w:rFonts w:ascii="宋体" w:hAnsi="宋体" w:cs="宋体"/>
                <w:sz w:val="24"/>
              </w:rPr>
            </w:pPr>
            <w:r>
              <w:rPr>
                <w:rFonts w:hint="eastAsia" w:ascii="宋体" w:hAnsi="宋体" w:cs="宋体"/>
                <w:sz w:val="24"/>
              </w:rPr>
              <w:t>单价</w:t>
            </w:r>
          </w:p>
        </w:tc>
        <w:tc>
          <w:tcPr>
            <w:tcW w:w="899" w:type="dxa"/>
            <w:noWrap/>
            <w:vAlign w:val="center"/>
          </w:tcPr>
          <w:p>
            <w:pPr>
              <w:spacing w:line="500" w:lineRule="exact"/>
              <w:jc w:val="center"/>
              <w:rPr>
                <w:rFonts w:ascii="宋体" w:hAnsi="宋体" w:cs="宋体"/>
                <w:sz w:val="24"/>
              </w:rPr>
            </w:pPr>
            <w:r>
              <w:rPr>
                <w:rFonts w:hint="eastAsia" w:ascii="宋体" w:hAnsi="宋体" w:cs="宋体"/>
                <w:sz w:val="24"/>
              </w:rPr>
              <w:t>总价</w:t>
            </w:r>
          </w:p>
        </w:tc>
        <w:tc>
          <w:tcPr>
            <w:tcW w:w="1575" w:type="dxa"/>
            <w:noWrap/>
            <w:vAlign w:val="center"/>
          </w:tcPr>
          <w:p>
            <w:pPr>
              <w:spacing w:line="500" w:lineRule="exact"/>
              <w:jc w:val="center"/>
              <w:rPr>
                <w:rFonts w:ascii="宋体" w:hAnsi="宋体" w:cs="宋体"/>
                <w:sz w:val="24"/>
              </w:rPr>
            </w:pPr>
            <w:r>
              <w:rPr>
                <w:rFonts w:hint="eastAsia" w:ascii="宋体" w:hAnsi="宋体" w:cs="宋体"/>
                <w:sz w:val="24"/>
              </w:rPr>
              <w:t>交货时间</w:t>
            </w:r>
          </w:p>
        </w:tc>
        <w:tc>
          <w:tcPr>
            <w:tcW w:w="2211" w:type="dxa"/>
            <w:noWrap/>
            <w:vAlign w:val="center"/>
          </w:tcPr>
          <w:p>
            <w:pPr>
              <w:spacing w:line="500" w:lineRule="exact"/>
              <w:jc w:val="center"/>
              <w:rPr>
                <w:rFonts w:ascii="宋体" w:hAnsi="宋体" w:cs="宋体"/>
                <w:sz w:val="24"/>
              </w:rPr>
            </w:pPr>
            <w:r>
              <w:rPr>
                <w:rFonts w:hint="eastAsia" w:ascii="宋体" w:hAnsi="宋体" w:cs="宋体"/>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宋体" w:hAnsi="宋体" w:cs="宋体"/>
                <w:sz w:val="24"/>
              </w:rPr>
            </w:pPr>
          </w:p>
        </w:tc>
        <w:tc>
          <w:tcPr>
            <w:tcW w:w="1741" w:type="dxa"/>
            <w:noWrap/>
            <w:vAlign w:val="center"/>
          </w:tcPr>
          <w:p>
            <w:pPr>
              <w:spacing w:line="500" w:lineRule="exact"/>
              <w:jc w:val="center"/>
              <w:rPr>
                <w:rFonts w:ascii="宋体" w:hAnsi="宋体" w:cs="宋体"/>
                <w:sz w:val="24"/>
              </w:rPr>
            </w:pPr>
          </w:p>
        </w:tc>
        <w:tc>
          <w:tcPr>
            <w:tcW w:w="984" w:type="dxa"/>
            <w:noWrap/>
            <w:vAlign w:val="center"/>
          </w:tcPr>
          <w:p>
            <w:pPr>
              <w:spacing w:line="500" w:lineRule="exact"/>
              <w:jc w:val="center"/>
              <w:rPr>
                <w:rFonts w:ascii="宋体" w:hAnsi="宋体" w:cs="宋体"/>
                <w:sz w:val="24"/>
              </w:rPr>
            </w:pPr>
          </w:p>
        </w:tc>
        <w:tc>
          <w:tcPr>
            <w:tcW w:w="873" w:type="dxa"/>
            <w:noWrap/>
            <w:vAlign w:val="center"/>
          </w:tcPr>
          <w:p>
            <w:pPr>
              <w:spacing w:line="500" w:lineRule="exact"/>
              <w:jc w:val="center"/>
              <w:rPr>
                <w:rFonts w:ascii="宋体" w:hAnsi="宋体" w:cs="宋体"/>
                <w:sz w:val="24"/>
              </w:rPr>
            </w:pPr>
          </w:p>
        </w:tc>
        <w:tc>
          <w:tcPr>
            <w:tcW w:w="899" w:type="dxa"/>
            <w:noWrap/>
            <w:vAlign w:val="center"/>
          </w:tcPr>
          <w:p>
            <w:pPr>
              <w:spacing w:line="500" w:lineRule="exact"/>
              <w:jc w:val="center"/>
              <w:rPr>
                <w:rFonts w:ascii="宋体" w:hAnsi="宋体" w:cs="宋体"/>
                <w:sz w:val="24"/>
              </w:rPr>
            </w:pPr>
          </w:p>
        </w:tc>
        <w:tc>
          <w:tcPr>
            <w:tcW w:w="1575" w:type="dxa"/>
            <w:noWrap/>
            <w:vAlign w:val="center"/>
          </w:tcPr>
          <w:p>
            <w:pPr>
              <w:spacing w:line="500" w:lineRule="exact"/>
              <w:jc w:val="center"/>
              <w:rPr>
                <w:rFonts w:ascii="宋体" w:hAnsi="宋体" w:cs="宋体"/>
                <w:sz w:val="24"/>
              </w:rPr>
            </w:pPr>
          </w:p>
        </w:tc>
        <w:tc>
          <w:tcPr>
            <w:tcW w:w="2211" w:type="dxa"/>
            <w:noWrap/>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ign w:val="center"/>
          </w:tcPr>
          <w:p>
            <w:pPr>
              <w:spacing w:line="500" w:lineRule="exact"/>
              <w:jc w:val="center"/>
              <w:rPr>
                <w:rFonts w:ascii="宋体" w:hAnsi="宋体" w:cs="宋体"/>
                <w:sz w:val="24"/>
              </w:rPr>
            </w:pPr>
          </w:p>
        </w:tc>
        <w:tc>
          <w:tcPr>
            <w:tcW w:w="1741" w:type="dxa"/>
            <w:tcBorders>
              <w:bottom w:val="single" w:color="auto" w:sz="4" w:space="0"/>
            </w:tcBorders>
            <w:noWrap/>
            <w:vAlign w:val="center"/>
          </w:tcPr>
          <w:p>
            <w:pPr>
              <w:spacing w:line="500" w:lineRule="exact"/>
              <w:jc w:val="center"/>
              <w:rPr>
                <w:rFonts w:ascii="宋体" w:hAnsi="宋体" w:cs="宋体"/>
                <w:sz w:val="24"/>
              </w:rPr>
            </w:pPr>
          </w:p>
        </w:tc>
        <w:tc>
          <w:tcPr>
            <w:tcW w:w="984" w:type="dxa"/>
            <w:tcBorders>
              <w:bottom w:val="single" w:color="auto" w:sz="4" w:space="0"/>
            </w:tcBorders>
            <w:noWrap/>
            <w:vAlign w:val="center"/>
          </w:tcPr>
          <w:p>
            <w:pPr>
              <w:spacing w:line="500" w:lineRule="exact"/>
              <w:jc w:val="center"/>
              <w:rPr>
                <w:rFonts w:ascii="宋体" w:hAnsi="宋体" w:cs="宋体"/>
                <w:sz w:val="24"/>
              </w:rPr>
            </w:pPr>
          </w:p>
        </w:tc>
        <w:tc>
          <w:tcPr>
            <w:tcW w:w="873" w:type="dxa"/>
            <w:tcBorders>
              <w:bottom w:val="single" w:color="auto" w:sz="4" w:space="0"/>
            </w:tcBorders>
            <w:noWrap/>
            <w:vAlign w:val="center"/>
          </w:tcPr>
          <w:p>
            <w:pPr>
              <w:spacing w:line="500" w:lineRule="exact"/>
              <w:jc w:val="center"/>
              <w:rPr>
                <w:rFonts w:ascii="宋体" w:hAnsi="宋体" w:cs="宋体"/>
                <w:sz w:val="24"/>
              </w:rPr>
            </w:pPr>
          </w:p>
        </w:tc>
        <w:tc>
          <w:tcPr>
            <w:tcW w:w="899" w:type="dxa"/>
            <w:tcBorders>
              <w:bottom w:val="single" w:color="auto" w:sz="4" w:space="0"/>
            </w:tcBorders>
            <w:noWrap/>
            <w:vAlign w:val="center"/>
          </w:tcPr>
          <w:p>
            <w:pPr>
              <w:spacing w:line="500" w:lineRule="exact"/>
              <w:jc w:val="center"/>
              <w:rPr>
                <w:rFonts w:ascii="宋体" w:hAnsi="宋体" w:cs="宋体"/>
                <w:sz w:val="24"/>
              </w:rPr>
            </w:pPr>
          </w:p>
        </w:tc>
        <w:tc>
          <w:tcPr>
            <w:tcW w:w="1575" w:type="dxa"/>
            <w:tcBorders>
              <w:bottom w:val="single" w:color="auto" w:sz="4" w:space="0"/>
            </w:tcBorders>
            <w:noWrap/>
            <w:vAlign w:val="center"/>
          </w:tcPr>
          <w:p>
            <w:pPr>
              <w:spacing w:line="500" w:lineRule="exact"/>
              <w:jc w:val="center"/>
              <w:rPr>
                <w:rFonts w:ascii="宋体" w:hAnsi="宋体" w:cs="宋体"/>
                <w:sz w:val="24"/>
              </w:rPr>
            </w:pPr>
          </w:p>
        </w:tc>
        <w:tc>
          <w:tcPr>
            <w:tcW w:w="2211" w:type="dxa"/>
            <w:tcBorders>
              <w:bottom w:val="single" w:color="auto" w:sz="4" w:space="0"/>
            </w:tcBorders>
            <w:noWrap/>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ign w:val="center"/>
          </w:tcPr>
          <w:p>
            <w:pPr>
              <w:spacing w:line="500" w:lineRule="exact"/>
              <w:jc w:val="center"/>
              <w:rPr>
                <w:rFonts w:ascii="宋体" w:hAnsi="宋体" w:cs="宋体"/>
                <w:sz w:val="24"/>
              </w:rPr>
            </w:pPr>
          </w:p>
        </w:tc>
        <w:tc>
          <w:tcPr>
            <w:tcW w:w="1741" w:type="dxa"/>
            <w:noWrap/>
            <w:vAlign w:val="center"/>
          </w:tcPr>
          <w:p>
            <w:pPr>
              <w:spacing w:line="500" w:lineRule="exact"/>
              <w:jc w:val="center"/>
              <w:rPr>
                <w:rFonts w:ascii="宋体" w:hAnsi="宋体" w:cs="宋体"/>
                <w:sz w:val="24"/>
              </w:rPr>
            </w:pPr>
          </w:p>
        </w:tc>
        <w:tc>
          <w:tcPr>
            <w:tcW w:w="984" w:type="dxa"/>
            <w:noWrap/>
            <w:vAlign w:val="center"/>
          </w:tcPr>
          <w:p>
            <w:pPr>
              <w:spacing w:line="500" w:lineRule="exact"/>
              <w:jc w:val="center"/>
              <w:rPr>
                <w:rFonts w:ascii="宋体" w:hAnsi="宋体" w:cs="宋体"/>
                <w:sz w:val="24"/>
              </w:rPr>
            </w:pPr>
          </w:p>
        </w:tc>
        <w:tc>
          <w:tcPr>
            <w:tcW w:w="873" w:type="dxa"/>
            <w:noWrap/>
            <w:vAlign w:val="center"/>
          </w:tcPr>
          <w:p>
            <w:pPr>
              <w:spacing w:line="500" w:lineRule="exact"/>
              <w:jc w:val="center"/>
              <w:rPr>
                <w:rFonts w:ascii="宋体" w:hAnsi="宋体" w:cs="宋体"/>
                <w:sz w:val="24"/>
              </w:rPr>
            </w:pPr>
          </w:p>
        </w:tc>
        <w:tc>
          <w:tcPr>
            <w:tcW w:w="899" w:type="dxa"/>
            <w:noWrap/>
            <w:vAlign w:val="center"/>
          </w:tcPr>
          <w:p>
            <w:pPr>
              <w:spacing w:line="500" w:lineRule="exact"/>
              <w:jc w:val="center"/>
              <w:rPr>
                <w:rFonts w:ascii="宋体" w:hAnsi="宋体" w:cs="宋体"/>
                <w:sz w:val="24"/>
              </w:rPr>
            </w:pPr>
          </w:p>
        </w:tc>
        <w:tc>
          <w:tcPr>
            <w:tcW w:w="1575" w:type="dxa"/>
            <w:noWrap/>
            <w:vAlign w:val="center"/>
          </w:tcPr>
          <w:p>
            <w:pPr>
              <w:spacing w:line="500" w:lineRule="exact"/>
              <w:jc w:val="center"/>
              <w:rPr>
                <w:rFonts w:ascii="宋体" w:hAnsi="宋体" w:cs="宋体"/>
                <w:sz w:val="24"/>
              </w:rPr>
            </w:pPr>
          </w:p>
        </w:tc>
        <w:tc>
          <w:tcPr>
            <w:tcW w:w="2211" w:type="dxa"/>
            <w:noWrap/>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ign w:val="center"/>
          </w:tcPr>
          <w:p>
            <w:pPr>
              <w:spacing w:line="500" w:lineRule="exact"/>
              <w:rPr>
                <w:rFonts w:ascii="宋体" w:hAnsi="宋体" w:cs="宋体"/>
                <w:sz w:val="24"/>
              </w:rPr>
            </w:pPr>
            <w:r>
              <w:rPr>
                <w:rFonts w:hint="eastAsia" w:ascii="宋体" w:hAnsi="宋体" w:cs="宋体"/>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ign w:val="center"/>
          </w:tcPr>
          <w:p>
            <w:pPr>
              <w:spacing w:line="500" w:lineRule="exact"/>
              <w:rPr>
                <w:rFonts w:ascii="宋体" w:hAnsi="宋体" w:cs="宋体"/>
                <w:sz w:val="24"/>
              </w:rPr>
            </w:pPr>
            <w:r>
              <w:rPr>
                <w:rFonts w:hint="eastAsia" w:ascii="宋体" w:hAnsi="宋体" w:cs="宋体"/>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tcPr>
          <w:p>
            <w:pPr>
              <w:spacing w:line="500" w:lineRule="exact"/>
              <w:rPr>
                <w:rFonts w:ascii="宋体" w:hAnsi="宋体" w:cs="宋体"/>
                <w:sz w:val="24"/>
              </w:rPr>
            </w:pPr>
            <w:r>
              <w:rPr>
                <w:rFonts w:hint="eastAsia" w:ascii="宋体" w:hAnsi="宋体" w:cs="宋体"/>
                <w:sz w:val="24"/>
              </w:rPr>
              <w:t>一、质量要求和技术标准。供方提供的商品必须是全新的，完全符合国家有关技术标准，供方的质量保证及售后服务承诺如下：</w:t>
            </w:r>
          </w:p>
          <w:p>
            <w:pPr>
              <w:spacing w:line="500" w:lineRule="exact"/>
              <w:rPr>
                <w:rFonts w:ascii="宋体" w:hAnsi="宋体" w:cs="宋体"/>
                <w:sz w:val="24"/>
              </w:rPr>
            </w:pPr>
            <w:r>
              <w:rPr>
                <w:rFonts w:hint="eastAsia" w:ascii="宋体" w:hAnsi="宋体" w:cs="宋体"/>
                <w:sz w:val="24"/>
              </w:rPr>
              <w:t>1.质保期限：</w:t>
            </w:r>
          </w:p>
          <w:p>
            <w:pPr>
              <w:spacing w:line="500" w:lineRule="exact"/>
              <w:rPr>
                <w:rFonts w:ascii="宋体" w:hAnsi="宋体" w:cs="宋体"/>
                <w:sz w:val="24"/>
              </w:rPr>
            </w:pPr>
            <w:r>
              <w:rPr>
                <w:rFonts w:hint="eastAsia" w:ascii="宋体" w:hAnsi="宋体" w:cs="宋体"/>
                <w:sz w:val="24"/>
              </w:rPr>
              <w:t>2.保修范围：</w:t>
            </w:r>
          </w:p>
          <w:p>
            <w:pPr>
              <w:spacing w:line="500" w:lineRule="exact"/>
              <w:rPr>
                <w:rFonts w:ascii="宋体" w:hAnsi="宋体" w:cs="宋体"/>
                <w:sz w:val="24"/>
              </w:rPr>
            </w:pPr>
            <w:r>
              <w:rPr>
                <w:rFonts w:hint="eastAsia" w:ascii="宋体" w:hAnsi="宋体" w:cs="宋体"/>
                <w:sz w:val="24"/>
              </w:rPr>
              <w:t>3.服务措施：</w:t>
            </w:r>
          </w:p>
          <w:p>
            <w:pPr>
              <w:spacing w:line="500" w:lineRule="exact"/>
              <w:rPr>
                <w:rFonts w:ascii="宋体" w:hAnsi="宋体" w:cs="宋体"/>
                <w:sz w:val="24"/>
              </w:rPr>
            </w:pPr>
            <w:r>
              <w:rPr>
                <w:rFonts w:hint="eastAsia" w:ascii="宋体" w:hAnsi="宋体" w:cs="宋体"/>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tcPr>
          <w:p>
            <w:pPr>
              <w:spacing w:line="500" w:lineRule="exact"/>
              <w:rPr>
                <w:rFonts w:ascii="宋体" w:hAnsi="宋体" w:cs="宋体"/>
                <w:sz w:val="24"/>
              </w:rPr>
            </w:pPr>
            <w:r>
              <w:rPr>
                <w:rFonts w:hint="eastAsia" w:ascii="宋体" w:hAnsi="宋体" w:cs="宋体"/>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tcPr>
          <w:p>
            <w:pPr>
              <w:spacing w:line="500" w:lineRule="exact"/>
              <w:rPr>
                <w:rFonts w:ascii="宋体" w:hAnsi="宋体" w:cs="宋体"/>
                <w:sz w:val="24"/>
              </w:rPr>
            </w:pPr>
            <w:r>
              <w:rPr>
                <w:rFonts w:hint="eastAsia" w:ascii="宋体" w:hAnsi="宋体" w:cs="宋体"/>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tcPr>
          <w:p>
            <w:pPr>
              <w:spacing w:line="500" w:lineRule="exact"/>
              <w:rPr>
                <w:rFonts w:ascii="宋体" w:hAnsi="宋体" w:cs="宋体"/>
                <w:sz w:val="24"/>
              </w:rPr>
            </w:pPr>
            <w:r>
              <w:rPr>
                <w:rFonts w:hint="eastAsia" w:ascii="宋体" w:hAnsi="宋体" w:cs="宋体"/>
                <w:sz w:val="24"/>
              </w:rPr>
              <w:t>四、验收标准、方法：</w:t>
            </w:r>
          </w:p>
          <w:p>
            <w:pPr>
              <w:spacing w:line="500" w:lineRule="exact"/>
              <w:rPr>
                <w:rFonts w:ascii="宋体" w:hAnsi="宋体" w:cs="宋体"/>
                <w:sz w:val="24"/>
              </w:rPr>
            </w:pPr>
            <w:r>
              <w:rPr>
                <w:rFonts w:hint="eastAsia" w:ascii="宋体" w:hAnsi="宋体" w:cs="宋体"/>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tcPr>
          <w:p>
            <w:pPr>
              <w:pStyle w:val="33"/>
              <w:spacing w:line="500" w:lineRule="exact"/>
              <w:rPr>
                <w:rFonts w:ascii="宋体" w:hAnsi="宋体" w:cs="宋体"/>
                <w:sz w:val="24"/>
              </w:rPr>
            </w:pPr>
            <w:r>
              <w:rPr>
                <w:rFonts w:hint="eastAsia" w:ascii="宋体" w:hAnsi="宋体" w:cs="宋体"/>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tcPr>
          <w:p>
            <w:pPr>
              <w:spacing w:line="500" w:lineRule="exact"/>
              <w:rPr>
                <w:rFonts w:ascii="宋体" w:hAnsi="宋体" w:cs="宋体"/>
                <w:sz w:val="24"/>
              </w:rPr>
            </w:pPr>
            <w:r>
              <w:rPr>
                <w:rFonts w:hint="eastAsia" w:ascii="宋体" w:hAnsi="宋体" w:cs="宋体"/>
                <w:sz w:val="24"/>
              </w:rPr>
              <w:t>六、付款方式：</w:t>
            </w:r>
          </w:p>
          <w:p>
            <w:pPr>
              <w:pStyle w:val="33"/>
              <w:spacing w:line="500" w:lineRule="exact"/>
              <w:rPr>
                <w:rFonts w:ascii="宋体" w:hAnsi="宋体" w:cs="宋体"/>
                <w:sz w:val="24"/>
              </w:rPr>
            </w:pPr>
            <w:r>
              <w:rPr>
                <w:rFonts w:hint="eastAsia" w:ascii="宋体" w:hAnsi="宋体" w:cs="宋体"/>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tcPr>
          <w:p>
            <w:pPr>
              <w:spacing w:line="500" w:lineRule="exact"/>
              <w:rPr>
                <w:rFonts w:ascii="宋体" w:hAnsi="宋体" w:cs="宋体"/>
                <w:sz w:val="24"/>
              </w:rPr>
            </w:pPr>
            <w:r>
              <w:rPr>
                <w:rFonts w:hint="eastAsia" w:ascii="宋体" w:hAnsi="宋体" w:cs="宋体"/>
                <w:sz w:val="24"/>
              </w:rPr>
              <w:t>七、违约责任：</w:t>
            </w:r>
          </w:p>
          <w:p>
            <w:pPr>
              <w:spacing w:line="500" w:lineRule="exact"/>
              <w:rPr>
                <w:rFonts w:ascii="宋体" w:hAnsi="宋体" w:cs="宋体"/>
                <w:sz w:val="24"/>
              </w:rPr>
            </w:pPr>
            <w:r>
              <w:rPr>
                <w:rFonts w:hint="eastAsia" w:ascii="宋体" w:hAnsi="宋体" w:cs="宋体"/>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tcPr>
          <w:p>
            <w:pPr>
              <w:spacing w:line="500" w:lineRule="exact"/>
              <w:rPr>
                <w:rFonts w:ascii="宋体" w:hAnsi="宋体" w:cs="宋体"/>
                <w:sz w:val="24"/>
              </w:rPr>
            </w:pPr>
            <w:r>
              <w:rPr>
                <w:rFonts w:hint="eastAsia" w:ascii="宋体" w:hAnsi="宋体" w:cs="宋体"/>
                <w:sz w:val="24"/>
              </w:rPr>
              <w:t>八、其他约定事项：</w:t>
            </w:r>
          </w:p>
          <w:p>
            <w:pPr>
              <w:tabs>
                <w:tab w:val="left" w:pos="360"/>
              </w:tabs>
              <w:spacing w:line="500" w:lineRule="exact"/>
              <w:rPr>
                <w:rFonts w:ascii="宋体" w:hAnsi="宋体" w:cs="宋体"/>
                <w:sz w:val="24"/>
              </w:rPr>
            </w:pPr>
            <w:r>
              <w:rPr>
                <w:rFonts w:hint="eastAsia" w:ascii="宋体" w:hAnsi="宋体" w:cs="宋体"/>
                <w:sz w:val="24"/>
              </w:rPr>
              <w:t>1.询价通知书及其澄清文件、响应文件和承诺是本合同不可分割的部分。</w:t>
            </w:r>
          </w:p>
          <w:p>
            <w:pPr>
              <w:tabs>
                <w:tab w:val="left" w:pos="360"/>
              </w:tabs>
              <w:spacing w:line="500" w:lineRule="exact"/>
              <w:rPr>
                <w:rFonts w:ascii="宋体" w:hAnsi="宋体" w:cs="宋体"/>
                <w:sz w:val="24"/>
              </w:rPr>
            </w:pPr>
            <w:r>
              <w:rPr>
                <w:rFonts w:hint="eastAsia" w:ascii="宋体" w:hAnsi="宋体" w:cs="宋体"/>
                <w:sz w:val="24"/>
              </w:rPr>
              <w:t>2.本合同如发生争议由双方协商解决，协商不成向需方所在地仲裁机构提请仲裁。</w:t>
            </w:r>
          </w:p>
          <w:p>
            <w:pPr>
              <w:tabs>
                <w:tab w:val="left" w:pos="360"/>
              </w:tabs>
              <w:spacing w:line="500" w:lineRule="exact"/>
              <w:rPr>
                <w:rFonts w:ascii="宋体" w:hAnsi="宋体" w:cs="宋体"/>
                <w:sz w:val="24"/>
              </w:rPr>
            </w:pPr>
            <w:r>
              <w:rPr>
                <w:rFonts w:hint="eastAsia" w:ascii="宋体" w:hAnsi="宋体" w:cs="宋体"/>
                <w:sz w:val="24"/>
              </w:rPr>
              <w:t>3.本合同一式__份， 需方__份，供方__份，具同等法律效力。</w:t>
            </w:r>
          </w:p>
          <w:p>
            <w:pPr>
              <w:tabs>
                <w:tab w:val="left" w:pos="360"/>
              </w:tabs>
              <w:spacing w:line="500" w:lineRule="exact"/>
              <w:rPr>
                <w:rFonts w:ascii="宋体" w:hAnsi="宋体" w:cs="宋体"/>
                <w:sz w:val="24"/>
              </w:rPr>
            </w:pPr>
            <w:r>
              <w:rPr>
                <w:rFonts w:hint="eastAsia" w:ascii="宋体" w:hAnsi="宋体" w:cs="宋体"/>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tcPr>
          <w:p>
            <w:pPr>
              <w:spacing w:line="500" w:lineRule="exact"/>
              <w:rPr>
                <w:rFonts w:ascii="宋体" w:hAnsi="宋体" w:cs="宋体"/>
                <w:sz w:val="24"/>
              </w:rPr>
            </w:pPr>
            <w:r>
              <w:rPr>
                <w:rFonts w:hint="eastAsia" w:ascii="宋体" w:hAnsi="宋体" w:cs="宋体"/>
                <w:sz w:val="24"/>
              </w:rPr>
              <w:t>需方：</w:t>
            </w:r>
          </w:p>
          <w:p>
            <w:pPr>
              <w:spacing w:line="500" w:lineRule="exact"/>
              <w:rPr>
                <w:rFonts w:ascii="宋体" w:hAnsi="宋体" w:cs="宋体"/>
                <w:sz w:val="24"/>
              </w:rPr>
            </w:pPr>
            <w:r>
              <w:rPr>
                <w:rFonts w:hint="eastAsia" w:ascii="宋体" w:hAnsi="宋体" w:cs="宋体"/>
                <w:sz w:val="24"/>
              </w:rPr>
              <w:t>地址：</w:t>
            </w:r>
          </w:p>
          <w:p>
            <w:pPr>
              <w:spacing w:line="500" w:lineRule="exact"/>
              <w:rPr>
                <w:rFonts w:ascii="宋体" w:hAnsi="宋体" w:cs="宋体"/>
                <w:sz w:val="24"/>
              </w:rPr>
            </w:pPr>
            <w:r>
              <w:rPr>
                <w:rFonts w:hint="eastAsia" w:ascii="宋体" w:hAnsi="宋体" w:cs="宋体"/>
                <w:sz w:val="24"/>
              </w:rPr>
              <w:t>联系电话：</w:t>
            </w:r>
          </w:p>
          <w:p>
            <w:pPr>
              <w:spacing w:line="500" w:lineRule="exact"/>
              <w:rPr>
                <w:rFonts w:ascii="宋体" w:hAnsi="宋体" w:cs="宋体"/>
                <w:sz w:val="24"/>
              </w:rPr>
            </w:pPr>
            <w:r>
              <w:rPr>
                <w:rFonts w:hint="eastAsia" w:ascii="宋体" w:hAnsi="宋体" w:cs="宋体"/>
                <w:sz w:val="24"/>
              </w:rPr>
              <w:t>授权代表：</w:t>
            </w:r>
          </w:p>
        </w:tc>
        <w:tc>
          <w:tcPr>
            <w:tcW w:w="4700" w:type="dxa"/>
            <w:gridSpan w:val="4"/>
            <w:noWrap/>
          </w:tcPr>
          <w:p>
            <w:pPr>
              <w:spacing w:line="500" w:lineRule="exact"/>
              <w:rPr>
                <w:rFonts w:ascii="宋体" w:hAnsi="宋体" w:cs="宋体"/>
                <w:sz w:val="24"/>
              </w:rPr>
            </w:pPr>
            <w:r>
              <w:rPr>
                <w:rFonts w:hint="eastAsia" w:ascii="宋体" w:hAnsi="宋体" w:cs="宋体"/>
                <w:sz w:val="24"/>
              </w:rPr>
              <w:t>供方：</w:t>
            </w:r>
          </w:p>
          <w:p>
            <w:pPr>
              <w:spacing w:line="500" w:lineRule="exact"/>
              <w:rPr>
                <w:rFonts w:ascii="宋体" w:hAnsi="宋体" w:cs="宋体"/>
                <w:sz w:val="24"/>
              </w:rPr>
            </w:pPr>
            <w:r>
              <w:rPr>
                <w:rFonts w:hint="eastAsia" w:ascii="宋体" w:hAnsi="宋体" w:cs="宋体"/>
                <w:sz w:val="24"/>
              </w:rPr>
              <w:t>地址：</w:t>
            </w:r>
          </w:p>
          <w:p>
            <w:pPr>
              <w:spacing w:line="500" w:lineRule="exact"/>
              <w:rPr>
                <w:rFonts w:ascii="宋体" w:hAnsi="宋体" w:cs="宋体"/>
                <w:sz w:val="24"/>
              </w:rPr>
            </w:pPr>
            <w:r>
              <w:rPr>
                <w:rFonts w:hint="eastAsia" w:ascii="宋体" w:hAnsi="宋体" w:cs="宋体"/>
                <w:sz w:val="24"/>
              </w:rPr>
              <w:t>电话：</w:t>
            </w:r>
          </w:p>
          <w:p>
            <w:pPr>
              <w:spacing w:line="500" w:lineRule="exact"/>
              <w:rPr>
                <w:rFonts w:ascii="宋体" w:hAnsi="宋体" w:cs="宋体"/>
                <w:sz w:val="24"/>
              </w:rPr>
            </w:pPr>
            <w:r>
              <w:rPr>
                <w:rFonts w:hint="eastAsia" w:ascii="宋体" w:hAnsi="宋体" w:cs="宋体"/>
                <w:sz w:val="24"/>
              </w:rPr>
              <w:t>传真：</w:t>
            </w:r>
          </w:p>
          <w:p>
            <w:pPr>
              <w:spacing w:line="500" w:lineRule="exact"/>
              <w:rPr>
                <w:rFonts w:ascii="宋体" w:hAnsi="宋体" w:cs="宋体"/>
                <w:sz w:val="24"/>
              </w:rPr>
            </w:pPr>
            <w:r>
              <w:rPr>
                <w:rFonts w:hint="eastAsia" w:ascii="宋体" w:hAnsi="宋体" w:cs="宋体"/>
                <w:sz w:val="24"/>
              </w:rPr>
              <w:t>开户银行：</w:t>
            </w:r>
          </w:p>
          <w:p>
            <w:pPr>
              <w:spacing w:line="500" w:lineRule="exact"/>
              <w:rPr>
                <w:rFonts w:ascii="宋体" w:hAnsi="宋体" w:cs="宋体"/>
                <w:sz w:val="24"/>
              </w:rPr>
            </w:pPr>
            <w:r>
              <w:rPr>
                <w:rFonts w:hint="eastAsia" w:ascii="宋体" w:hAnsi="宋体" w:cs="宋体"/>
                <w:sz w:val="24"/>
              </w:rPr>
              <w:t>账号：</w:t>
            </w:r>
          </w:p>
          <w:p>
            <w:pPr>
              <w:spacing w:line="500" w:lineRule="exact"/>
              <w:rPr>
                <w:rFonts w:ascii="宋体" w:hAnsi="宋体" w:cs="宋体"/>
                <w:sz w:val="24"/>
              </w:rPr>
            </w:pPr>
            <w:r>
              <w:rPr>
                <w:rFonts w:hint="eastAsia" w:ascii="宋体" w:hAnsi="宋体" w:cs="宋体"/>
                <w:sz w:val="24"/>
              </w:rPr>
              <w:t>授权代表：</w:t>
            </w:r>
          </w:p>
          <w:p>
            <w:pPr>
              <w:spacing w:line="500" w:lineRule="exact"/>
              <w:rPr>
                <w:rFonts w:ascii="宋体" w:hAnsi="宋体" w:cs="宋体"/>
                <w:sz w:val="24"/>
              </w:rPr>
            </w:pPr>
            <w:r>
              <w:rPr>
                <w:rFonts w:hint="eastAsia" w:ascii="宋体" w:hAnsi="宋体" w:cs="宋体"/>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tcPr>
          <w:p>
            <w:pPr>
              <w:spacing w:line="500" w:lineRule="exact"/>
              <w:rPr>
                <w:rFonts w:ascii="宋体" w:hAnsi="宋体" w:cs="宋体"/>
                <w:sz w:val="24"/>
              </w:rPr>
            </w:pPr>
            <w:r>
              <w:rPr>
                <w:rFonts w:hint="eastAsia" w:ascii="宋体" w:hAnsi="宋体" w:cs="宋体"/>
                <w:sz w:val="24"/>
              </w:rPr>
              <w:t>备注：</w:t>
            </w:r>
          </w:p>
          <w:p>
            <w:pPr>
              <w:spacing w:line="500" w:lineRule="exact"/>
              <w:rPr>
                <w:rFonts w:ascii="宋体" w:hAnsi="宋体" w:cs="宋体"/>
                <w:sz w:val="24"/>
              </w:rPr>
            </w:pPr>
          </w:p>
          <w:p>
            <w:pPr>
              <w:spacing w:line="500" w:lineRule="exact"/>
              <w:rPr>
                <w:rFonts w:ascii="宋体" w:hAnsi="宋体" w:cs="宋体"/>
                <w:sz w:val="24"/>
              </w:rPr>
            </w:pPr>
          </w:p>
        </w:tc>
      </w:tr>
    </w:tbl>
    <w:p>
      <w:pPr>
        <w:tabs>
          <w:tab w:val="left" w:pos="9000"/>
        </w:tabs>
        <w:spacing w:line="276" w:lineRule="auto"/>
        <w:jc w:val="center"/>
        <w:rPr>
          <w:rFonts w:ascii="宋体" w:hAnsi="宋体" w:cs="宋体"/>
          <w:sz w:val="21"/>
          <w:szCs w:val="21"/>
        </w:rPr>
        <w:sectPr>
          <w:pgSz w:w="11907" w:h="16840"/>
          <w:pgMar w:top="1134" w:right="1191" w:bottom="1134" w:left="1304" w:header="964" w:footer="992" w:gutter="0"/>
          <w:pgNumType w:fmt="numberInDash"/>
          <w:cols w:space="720" w:num="1"/>
          <w:docGrid w:linePitch="312" w:charSpace="0"/>
        </w:sectPr>
      </w:pPr>
      <w:r>
        <w:rPr>
          <w:rFonts w:hint="eastAsia" w:ascii="宋体" w:hAnsi="宋体" w:cs="宋体"/>
          <w:sz w:val="24"/>
        </w:rPr>
        <w:t>签约时间：           年   月   日      签约地点：</w:t>
      </w:r>
    </w:p>
    <w:p>
      <w:pPr>
        <w:pStyle w:val="5"/>
        <w:spacing w:before="0" w:after="0" w:line="360" w:lineRule="auto"/>
        <w:jc w:val="center"/>
        <w:rPr>
          <w:rFonts w:ascii="宋体" w:hAnsi="宋体" w:eastAsia="宋体" w:cs="宋体"/>
          <w:bCs/>
          <w:sz w:val="36"/>
          <w:szCs w:val="30"/>
        </w:rPr>
      </w:pPr>
      <w:bookmarkStart w:id="409" w:name="_Hlt41879464"/>
      <w:bookmarkEnd w:id="409"/>
      <w:bookmarkStart w:id="410" w:name="_Toc22435"/>
      <w:bookmarkStart w:id="411" w:name="_Toc22155"/>
      <w:bookmarkStart w:id="412" w:name="_Toc1526"/>
      <w:bookmarkStart w:id="413" w:name="_Toc27468"/>
      <w:bookmarkStart w:id="414" w:name="_Toc9538"/>
      <w:bookmarkStart w:id="415" w:name="_Toc18521"/>
      <w:bookmarkStart w:id="416" w:name="_Toc31849"/>
      <w:bookmarkStart w:id="417" w:name="_Toc65660378"/>
      <w:bookmarkStart w:id="418" w:name="_Toc16225"/>
      <w:bookmarkStart w:id="419" w:name="_Toc19368"/>
      <w:bookmarkStart w:id="420" w:name="_Toc13029"/>
      <w:bookmarkStart w:id="421" w:name="_Toc116294866"/>
      <w:bookmarkStart w:id="422" w:name="_Toc7343"/>
      <w:bookmarkStart w:id="423" w:name="_Toc6968"/>
      <w:bookmarkStart w:id="424" w:name="_Toc31858"/>
    </w:p>
    <w:p>
      <w:pPr>
        <w:pStyle w:val="5"/>
        <w:spacing w:before="0" w:after="0" w:line="360" w:lineRule="auto"/>
        <w:jc w:val="center"/>
        <w:rPr>
          <w:rFonts w:ascii="宋体" w:hAnsi="宋体" w:eastAsia="宋体" w:cs="宋体"/>
          <w:b w:val="0"/>
          <w:sz w:val="36"/>
          <w:szCs w:val="30"/>
        </w:rPr>
      </w:pPr>
      <w:r>
        <w:rPr>
          <w:rFonts w:hint="eastAsia" w:ascii="宋体" w:hAnsi="宋体" w:eastAsia="宋体" w:cs="宋体"/>
          <w:bCs/>
          <w:sz w:val="36"/>
          <w:szCs w:val="30"/>
        </w:rPr>
        <w:t>第七篇  响应文件格式要求</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400" w:lineRule="exact"/>
        <w:ind w:firstLine="482" w:firstLineChars="200"/>
        <w:rPr>
          <w:rFonts w:ascii="宋体" w:hAnsi="宋体" w:cs="宋体"/>
          <w:b/>
          <w:sz w:val="24"/>
          <w:szCs w:val="24"/>
        </w:rPr>
      </w:pPr>
      <w:r>
        <w:rPr>
          <w:rFonts w:hint="eastAsia" w:ascii="宋体" w:hAnsi="宋体" w:cs="宋体"/>
          <w:b/>
          <w:sz w:val="24"/>
          <w:szCs w:val="24"/>
        </w:rPr>
        <w:t>一、经济部分</w:t>
      </w:r>
    </w:p>
    <w:p>
      <w:pPr>
        <w:spacing w:line="400" w:lineRule="exact"/>
        <w:ind w:firstLine="480" w:firstLineChars="200"/>
        <w:rPr>
          <w:rFonts w:ascii="宋体" w:hAnsi="宋体" w:cs="宋体"/>
          <w:sz w:val="24"/>
          <w:szCs w:val="24"/>
        </w:rPr>
      </w:pPr>
      <w:r>
        <w:rPr>
          <w:rFonts w:hint="eastAsia" w:ascii="宋体" w:hAnsi="宋体" w:cs="宋体"/>
          <w:sz w:val="24"/>
          <w:szCs w:val="24"/>
        </w:rPr>
        <w:t>（一）报价函</w:t>
      </w:r>
    </w:p>
    <w:p>
      <w:pPr>
        <w:spacing w:line="400" w:lineRule="exact"/>
        <w:ind w:firstLine="480" w:firstLineChars="200"/>
        <w:rPr>
          <w:rFonts w:ascii="宋体" w:hAnsi="宋体" w:cs="宋体"/>
          <w:sz w:val="24"/>
          <w:szCs w:val="24"/>
        </w:rPr>
      </w:pPr>
      <w:r>
        <w:rPr>
          <w:rFonts w:hint="eastAsia" w:ascii="宋体" w:hAnsi="宋体" w:cs="宋体"/>
          <w:sz w:val="24"/>
          <w:szCs w:val="24"/>
        </w:rPr>
        <w:t>（二）明细报价表</w:t>
      </w:r>
    </w:p>
    <w:p>
      <w:pPr>
        <w:spacing w:line="400" w:lineRule="exact"/>
        <w:ind w:firstLine="482" w:firstLineChars="200"/>
        <w:rPr>
          <w:rFonts w:ascii="宋体" w:hAnsi="宋体" w:cs="宋体"/>
          <w:b/>
          <w:sz w:val="24"/>
          <w:szCs w:val="24"/>
        </w:rPr>
      </w:pPr>
      <w:r>
        <w:rPr>
          <w:rFonts w:hint="eastAsia" w:ascii="宋体" w:hAnsi="宋体" w:cs="宋体"/>
          <w:b/>
          <w:sz w:val="24"/>
          <w:szCs w:val="24"/>
        </w:rPr>
        <w:t>二、技术（质量）部分</w:t>
      </w:r>
    </w:p>
    <w:p>
      <w:pPr>
        <w:spacing w:line="400" w:lineRule="exact"/>
        <w:ind w:firstLine="480" w:firstLineChars="200"/>
        <w:rPr>
          <w:rFonts w:ascii="宋体" w:hAnsi="宋体" w:cs="宋体"/>
          <w:sz w:val="24"/>
          <w:szCs w:val="24"/>
        </w:rPr>
      </w:pPr>
      <w:r>
        <w:rPr>
          <w:rFonts w:hint="eastAsia" w:ascii="宋体" w:hAnsi="宋体" w:cs="宋体"/>
          <w:sz w:val="24"/>
          <w:szCs w:val="24"/>
        </w:rPr>
        <w:t>（一）技术（质量）响应偏离表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（二）其他资料（格式自定）</w:t>
      </w:r>
    </w:p>
    <w:p>
      <w:pPr>
        <w:spacing w:line="400" w:lineRule="exact"/>
        <w:ind w:firstLine="482" w:firstLineChars="200"/>
        <w:rPr>
          <w:rFonts w:ascii="宋体" w:hAnsi="宋体" w:cs="宋体"/>
          <w:b/>
          <w:sz w:val="24"/>
          <w:szCs w:val="24"/>
        </w:rPr>
      </w:pPr>
      <w:r>
        <w:rPr>
          <w:rFonts w:hint="eastAsia" w:ascii="宋体" w:hAnsi="宋体" w:cs="宋体"/>
          <w:b/>
          <w:sz w:val="24"/>
          <w:szCs w:val="24"/>
        </w:rPr>
        <w:t>三、服务部分</w:t>
      </w:r>
    </w:p>
    <w:p>
      <w:pPr>
        <w:spacing w:line="400" w:lineRule="exact"/>
        <w:ind w:firstLine="480" w:firstLineChars="200"/>
        <w:rPr>
          <w:rFonts w:ascii="宋体" w:hAnsi="宋体" w:cs="宋体"/>
          <w:sz w:val="24"/>
          <w:szCs w:val="24"/>
        </w:rPr>
      </w:pPr>
      <w:r>
        <w:rPr>
          <w:rFonts w:hint="eastAsia" w:ascii="宋体" w:hAnsi="宋体" w:cs="宋体"/>
          <w:sz w:val="24"/>
          <w:szCs w:val="24"/>
        </w:rPr>
        <w:t>（一）服务响应偏离表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（二）其它优惠服务承诺（格式自定）</w:t>
      </w:r>
    </w:p>
    <w:p>
      <w:pPr>
        <w:spacing w:line="400" w:lineRule="exact"/>
        <w:ind w:firstLine="482" w:firstLineChars="200"/>
        <w:rPr>
          <w:rFonts w:ascii="宋体" w:hAnsi="宋体" w:cs="宋体"/>
          <w:b/>
          <w:sz w:val="24"/>
          <w:szCs w:val="24"/>
        </w:rPr>
      </w:pPr>
      <w:r>
        <w:rPr>
          <w:rFonts w:hint="eastAsia" w:ascii="宋体" w:hAnsi="宋体" w:cs="宋体"/>
          <w:b/>
          <w:sz w:val="24"/>
          <w:szCs w:val="24"/>
        </w:rPr>
        <w:t>四、资格条件及其他</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（三）法定代表人授权委托书（格式）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（四）基本资格条件承诺函（格式）</w:t>
      </w:r>
    </w:p>
    <w:p>
      <w:pPr>
        <w:spacing w:line="400" w:lineRule="exact"/>
        <w:ind w:firstLine="480" w:firstLineChars="200"/>
        <w:rPr>
          <w:rFonts w:ascii="宋体" w:hAnsi="宋体" w:cs="宋体"/>
          <w:sz w:val="24"/>
          <w:szCs w:val="24"/>
        </w:rPr>
      </w:pPr>
      <w:r>
        <w:rPr>
          <w:rFonts w:hint="eastAsia" w:ascii="宋体" w:hAnsi="宋体" w:cs="宋体"/>
          <w:sz w:val="24"/>
          <w:szCs w:val="24"/>
        </w:rPr>
        <w:t>（五）特定资格条件证书或证明文件</w:t>
      </w:r>
    </w:p>
    <w:p>
      <w:pPr>
        <w:spacing w:line="400" w:lineRule="exact"/>
        <w:ind w:firstLine="482" w:firstLineChars="200"/>
        <w:rPr>
          <w:rFonts w:ascii="宋体" w:hAnsi="宋体" w:cs="宋体"/>
          <w:b/>
          <w:sz w:val="24"/>
          <w:szCs w:val="24"/>
        </w:rPr>
      </w:pPr>
      <w:r>
        <w:rPr>
          <w:rFonts w:hint="eastAsia" w:ascii="宋体" w:hAnsi="宋体" w:cs="宋体"/>
          <w:b/>
          <w:sz w:val="24"/>
          <w:szCs w:val="24"/>
        </w:rPr>
        <w:t>五、其他资料</w:t>
      </w:r>
    </w:p>
    <w:p>
      <w:pPr>
        <w:spacing w:line="400" w:lineRule="exact"/>
        <w:ind w:firstLine="480" w:firstLineChars="200"/>
        <w:rPr>
          <w:rFonts w:ascii="宋体" w:hAnsi="宋体" w:cs="宋体"/>
          <w:b/>
          <w:sz w:val="24"/>
          <w:szCs w:val="24"/>
        </w:rPr>
      </w:pPr>
      <w:r>
        <w:rPr>
          <w:rFonts w:hint="eastAsia" w:ascii="宋体" w:hAnsi="宋体" w:cs="宋体"/>
          <w:sz w:val="24"/>
          <w:szCs w:val="24"/>
        </w:rPr>
        <w:t>（一）中小企业声明函、监狱企业证明文件、残疾人福利性单位声明函</w:t>
      </w:r>
    </w:p>
    <w:p>
      <w:pPr>
        <w:spacing w:line="400" w:lineRule="exact"/>
        <w:ind w:firstLine="480" w:firstLineChars="200"/>
        <w:rPr>
          <w:rFonts w:ascii="宋体" w:hAnsi="宋体" w:cs="宋体"/>
          <w:sz w:val="24"/>
          <w:szCs w:val="24"/>
        </w:rPr>
      </w:pPr>
      <w:r>
        <w:rPr>
          <w:rFonts w:hint="eastAsia" w:ascii="宋体" w:hAnsi="宋体" w:cs="宋体"/>
          <w:sz w:val="24"/>
          <w:szCs w:val="24"/>
        </w:rPr>
        <w:t>（二）其他与项目有关的资料（自附）</w:t>
      </w:r>
    </w:p>
    <w:p>
      <w:pPr>
        <w:snapToGrid w:val="0"/>
        <w:spacing w:line="360" w:lineRule="auto"/>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adjustRightInd w:val="0"/>
        <w:snapToGrid w:val="0"/>
        <w:spacing w:before="0" w:after="0" w:line="400" w:lineRule="exact"/>
        <w:ind w:firstLine="482" w:firstLineChars="200"/>
        <w:rPr>
          <w:rFonts w:ascii="宋体" w:hAnsi="宋体" w:eastAsia="宋体" w:cs="宋体"/>
          <w:sz w:val="24"/>
        </w:rPr>
      </w:pPr>
      <w:bookmarkStart w:id="425" w:name="_Toc7277"/>
      <w:bookmarkStart w:id="426" w:name="_Toc65660379"/>
      <w:bookmarkStart w:id="427" w:name="_Toc30982"/>
      <w:bookmarkStart w:id="428" w:name="_Toc19502"/>
      <w:bookmarkStart w:id="429" w:name="_Toc26048"/>
      <w:bookmarkStart w:id="430" w:name="_Toc934"/>
      <w:bookmarkStart w:id="431" w:name="_Toc26343"/>
      <w:bookmarkStart w:id="432" w:name="_Toc27061"/>
      <w:bookmarkStart w:id="433" w:name="_Toc6594"/>
      <w:bookmarkStart w:id="434" w:name="_Toc14244"/>
      <w:bookmarkStart w:id="435" w:name="_Toc313008356"/>
      <w:bookmarkStart w:id="436" w:name="_Toc313888360"/>
      <w:bookmarkStart w:id="437" w:name="_Toc342913419"/>
      <w:bookmarkStart w:id="438" w:name="_Toc435"/>
      <w:bookmarkStart w:id="439" w:name="_Toc16735"/>
      <w:bookmarkStart w:id="440" w:name="_Toc25713"/>
      <w:bookmarkStart w:id="441" w:name="_Toc116294867"/>
      <w:bookmarkStart w:id="442" w:name="_Toc31720"/>
      <w:bookmarkStart w:id="443" w:name="_Toc283382454"/>
      <w:bookmarkStart w:id="444" w:name="_Toc12789073"/>
      <w:r>
        <w:rPr>
          <w:rFonts w:hint="eastAsia" w:ascii="宋体" w:hAnsi="宋体" w:eastAsia="宋体" w:cs="宋体"/>
          <w:sz w:val="24"/>
        </w:rPr>
        <w:t>一、经济部分</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bookmarkEnd w:id="443"/>
    <w:bookmarkEnd w:id="444"/>
    <w:p>
      <w:pPr>
        <w:spacing w:line="400" w:lineRule="exact"/>
        <w:ind w:firstLine="480" w:firstLineChars="200"/>
        <w:rPr>
          <w:rFonts w:ascii="宋体" w:hAnsi="宋体" w:cs="宋体"/>
          <w:sz w:val="24"/>
          <w:szCs w:val="24"/>
        </w:rPr>
      </w:pPr>
      <w:r>
        <w:rPr>
          <w:rFonts w:hint="eastAsia" w:ascii="宋体" w:hAnsi="宋体" w:cs="宋体"/>
          <w:sz w:val="24"/>
          <w:szCs w:val="24"/>
        </w:rPr>
        <w:t>（一）报价函</w:t>
      </w:r>
    </w:p>
    <w:p>
      <w:pPr>
        <w:tabs>
          <w:tab w:val="left" w:pos="6300"/>
        </w:tabs>
        <w:snapToGrid w:val="0"/>
        <w:spacing w:line="312" w:lineRule="auto"/>
        <w:ind w:firstLine="562" w:firstLineChars="200"/>
        <w:jc w:val="center"/>
        <w:rPr>
          <w:rFonts w:ascii="宋体" w:hAnsi="宋体" w:cs="宋体"/>
          <w:b/>
        </w:rPr>
      </w:pPr>
      <w:r>
        <w:rPr>
          <w:rFonts w:hint="eastAsia" w:ascii="宋体" w:hAnsi="宋体" w:cs="宋体"/>
          <w:b/>
        </w:rPr>
        <w:t>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（采购代理机构名称）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我方收到____________________________（询价项目名称）的询价通知书，经详细研究，决定参加该询价项目的报价。</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1.愿意按照询价通知书中的一切要求，提供本项目的交货及技术服务，项目初始报价（总价）为人民币大写：元整；人民币小写：元。以我公司报价为准。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2.我方现提交的响应文件为：响应文件正本份，副本份，电子文档份。</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3.我方承诺：本次报价的有效期为提交响应文件截止时间起90天。</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4.我方完全理解和接受贵方询价通知书的一切规定和要求及评审办法。</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5.在整个询价过程中，我方若有违规行为，接受按照《中华人民共和国政府采购法》和《询价通知书》之规定给予惩罚。</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6.我方若成为成交供应商，将按照最终报价结果签订合同，并且严格履行合同义务。本承诺函将成为合同不可分割的一部分，与合同具有同等的法律效力。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7.我方同意按询价通知书规定，交纳询价通知书要求的保证金。如果我方成为成交供应商，保证在接到成交通知书后，向采购代理机构询价通知书规定的采购代理服务费。</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8.</w:t>
      </w:r>
      <w:r>
        <w:rPr>
          <w:rFonts w:hint="eastAsia" w:ascii="宋体" w:hAnsi="宋体" w:cs="宋体"/>
          <w:sz w:val="24"/>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供应商（公章）或自然人签署：</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地址：  </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电话：                           传真：</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网址：                           邮编：</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联系人：</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spacing w:line="400" w:lineRule="exact"/>
        <w:ind w:firstLine="480" w:firstLineChars="200"/>
        <w:rPr>
          <w:rFonts w:ascii="宋体" w:hAnsi="宋体" w:cs="宋体"/>
          <w:sz w:val="24"/>
          <w:szCs w:val="24"/>
        </w:rPr>
      </w:pPr>
      <w:r>
        <w:rPr>
          <w:rFonts w:hint="eastAsia" w:ascii="宋体" w:hAnsi="宋体" w:cs="宋体"/>
          <w:sz w:val="24"/>
          <w:szCs w:val="24"/>
        </w:rPr>
        <w:t>（二）明细报价表</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项目号：                           </w:t>
      </w:r>
    </w:p>
    <w:p>
      <w:pPr>
        <w:spacing w:line="400" w:lineRule="exact"/>
        <w:ind w:firstLine="480" w:firstLineChars="200"/>
        <w:rPr>
          <w:rFonts w:ascii="宋体" w:hAnsi="宋体" w:cs="宋体"/>
          <w:sz w:val="24"/>
          <w:szCs w:val="24"/>
        </w:rPr>
      </w:pPr>
      <w:r>
        <w:rPr>
          <w:rFonts w:hint="eastAsia" w:ascii="宋体" w:hAnsi="宋体" w:cs="宋体"/>
          <w:sz w:val="24"/>
          <w:szCs w:val="24"/>
        </w:rPr>
        <w:t>询价项目名称：</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noWrap/>
            <w:vAlign w:val="center"/>
          </w:tcPr>
          <w:p>
            <w:pPr>
              <w:jc w:val="center"/>
              <w:rPr>
                <w:rFonts w:ascii="宋体" w:hAnsi="宋体" w:cs="宋体"/>
                <w:sz w:val="24"/>
              </w:rPr>
            </w:pPr>
            <w:r>
              <w:rPr>
                <w:rFonts w:hint="eastAsia" w:ascii="宋体" w:hAnsi="宋体" w:cs="宋体"/>
                <w:sz w:val="24"/>
              </w:rPr>
              <w:t>产品名称</w:t>
            </w:r>
          </w:p>
        </w:tc>
        <w:tc>
          <w:tcPr>
            <w:tcW w:w="1721" w:type="dxa"/>
            <w:noWrap/>
            <w:vAlign w:val="center"/>
          </w:tcPr>
          <w:p>
            <w:pPr>
              <w:jc w:val="center"/>
              <w:rPr>
                <w:rFonts w:ascii="宋体" w:hAnsi="宋体" w:cs="宋体"/>
                <w:sz w:val="24"/>
              </w:rPr>
            </w:pPr>
            <w:r>
              <w:rPr>
                <w:rFonts w:hint="eastAsia" w:ascii="宋体" w:hAnsi="宋体" w:cs="宋体"/>
                <w:sz w:val="24"/>
              </w:rPr>
              <w:t>品牌及产地</w:t>
            </w:r>
          </w:p>
        </w:tc>
        <w:tc>
          <w:tcPr>
            <w:tcW w:w="1417" w:type="dxa"/>
            <w:noWrap/>
            <w:vAlign w:val="center"/>
          </w:tcPr>
          <w:p>
            <w:pPr>
              <w:jc w:val="center"/>
              <w:rPr>
                <w:rFonts w:ascii="宋体" w:hAnsi="宋体" w:cs="宋体"/>
                <w:sz w:val="24"/>
              </w:rPr>
            </w:pPr>
            <w:r>
              <w:rPr>
                <w:rFonts w:hint="eastAsia" w:ascii="宋体" w:hAnsi="宋体" w:cs="宋体"/>
                <w:sz w:val="24"/>
              </w:rPr>
              <w:t>制造商名称</w:t>
            </w:r>
          </w:p>
        </w:tc>
        <w:tc>
          <w:tcPr>
            <w:tcW w:w="1250" w:type="dxa"/>
            <w:noWrap/>
            <w:vAlign w:val="center"/>
          </w:tcPr>
          <w:p>
            <w:pPr>
              <w:jc w:val="center"/>
              <w:rPr>
                <w:rFonts w:ascii="宋体" w:hAnsi="宋体" w:cs="宋体"/>
                <w:sz w:val="24"/>
              </w:rPr>
            </w:pPr>
            <w:r>
              <w:rPr>
                <w:rFonts w:hint="eastAsia" w:ascii="宋体" w:hAnsi="宋体" w:cs="宋体"/>
                <w:sz w:val="24"/>
              </w:rPr>
              <w:t>规格型号</w:t>
            </w:r>
          </w:p>
        </w:tc>
        <w:tc>
          <w:tcPr>
            <w:tcW w:w="867" w:type="dxa"/>
            <w:noWrap/>
            <w:vAlign w:val="center"/>
          </w:tcPr>
          <w:p>
            <w:pPr>
              <w:jc w:val="center"/>
              <w:rPr>
                <w:rFonts w:ascii="宋体" w:hAnsi="宋体" w:cs="宋体"/>
                <w:sz w:val="24"/>
              </w:rPr>
            </w:pPr>
            <w:r>
              <w:rPr>
                <w:rFonts w:hint="eastAsia" w:ascii="宋体" w:hAnsi="宋体" w:cs="宋体"/>
                <w:sz w:val="24"/>
              </w:rPr>
              <w:t>数量</w:t>
            </w:r>
          </w:p>
        </w:tc>
        <w:tc>
          <w:tcPr>
            <w:tcW w:w="1186" w:type="dxa"/>
            <w:noWrap/>
            <w:vAlign w:val="center"/>
          </w:tcPr>
          <w:p>
            <w:pPr>
              <w:pStyle w:val="33"/>
              <w:jc w:val="center"/>
              <w:rPr>
                <w:rFonts w:ascii="宋体" w:hAnsi="宋体" w:cs="宋体"/>
                <w:sz w:val="24"/>
                <w:szCs w:val="28"/>
              </w:rPr>
            </w:pPr>
            <w:r>
              <w:rPr>
                <w:rFonts w:hint="eastAsia" w:ascii="宋体" w:hAnsi="宋体" w:cs="宋体"/>
                <w:sz w:val="24"/>
                <w:szCs w:val="28"/>
              </w:rPr>
              <w:t>单价</w:t>
            </w:r>
          </w:p>
          <w:p>
            <w:pPr>
              <w:pStyle w:val="33"/>
              <w:jc w:val="center"/>
              <w:rPr>
                <w:rFonts w:ascii="宋体" w:hAnsi="宋体" w:cs="宋体"/>
                <w:sz w:val="24"/>
                <w:szCs w:val="28"/>
              </w:rPr>
            </w:pPr>
            <w:r>
              <w:rPr>
                <w:rFonts w:hint="eastAsia" w:ascii="宋体" w:hAnsi="宋体" w:cs="宋体"/>
                <w:sz w:val="24"/>
                <w:szCs w:val="28"/>
              </w:rPr>
              <w:t>（   ）</w:t>
            </w:r>
          </w:p>
        </w:tc>
        <w:tc>
          <w:tcPr>
            <w:tcW w:w="1233" w:type="dxa"/>
            <w:noWrap/>
            <w:vAlign w:val="center"/>
          </w:tcPr>
          <w:p>
            <w:pPr>
              <w:jc w:val="center"/>
              <w:rPr>
                <w:rFonts w:ascii="宋体" w:hAnsi="宋体" w:cs="宋体"/>
                <w:sz w:val="24"/>
              </w:rPr>
            </w:pPr>
            <w:r>
              <w:rPr>
                <w:rFonts w:hint="eastAsia" w:ascii="宋体" w:hAnsi="宋体" w:cs="宋体"/>
                <w:sz w:val="24"/>
              </w:rPr>
              <w:t>合计</w:t>
            </w:r>
          </w:p>
          <w:p>
            <w:pPr>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noWrap/>
            <w:vAlign w:val="center"/>
          </w:tcPr>
          <w:p>
            <w:pPr>
              <w:jc w:val="center"/>
              <w:rPr>
                <w:rFonts w:ascii="宋体" w:hAnsi="宋体" w:cs="宋体"/>
                <w:sz w:val="24"/>
              </w:rPr>
            </w:pPr>
          </w:p>
        </w:tc>
        <w:tc>
          <w:tcPr>
            <w:tcW w:w="1721" w:type="dxa"/>
            <w:tcBorders>
              <w:bottom w:val="single" w:color="auto" w:sz="4" w:space="0"/>
            </w:tcBorders>
            <w:noWrap/>
            <w:vAlign w:val="center"/>
          </w:tcPr>
          <w:p>
            <w:pPr>
              <w:jc w:val="center"/>
              <w:rPr>
                <w:rFonts w:ascii="宋体" w:hAnsi="宋体" w:cs="宋体"/>
                <w:sz w:val="24"/>
              </w:rPr>
            </w:pPr>
          </w:p>
        </w:tc>
        <w:tc>
          <w:tcPr>
            <w:tcW w:w="1417" w:type="dxa"/>
            <w:tcBorders>
              <w:bottom w:val="single" w:color="auto" w:sz="4" w:space="0"/>
            </w:tcBorders>
            <w:noWrap/>
            <w:vAlign w:val="center"/>
          </w:tcPr>
          <w:p>
            <w:pPr>
              <w:jc w:val="center"/>
              <w:rPr>
                <w:rFonts w:ascii="宋体" w:hAnsi="宋体" w:cs="宋体"/>
                <w:sz w:val="24"/>
              </w:rPr>
            </w:pPr>
          </w:p>
        </w:tc>
        <w:tc>
          <w:tcPr>
            <w:tcW w:w="1250" w:type="dxa"/>
            <w:tcBorders>
              <w:bottom w:val="single" w:color="auto" w:sz="4" w:space="0"/>
            </w:tcBorders>
            <w:noWrap/>
            <w:vAlign w:val="center"/>
          </w:tcPr>
          <w:p>
            <w:pPr>
              <w:jc w:val="center"/>
              <w:rPr>
                <w:rFonts w:ascii="宋体" w:hAnsi="宋体" w:cs="宋体"/>
                <w:sz w:val="24"/>
              </w:rPr>
            </w:pPr>
          </w:p>
        </w:tc>
        <w:tc>
          <w:tcPr>
            <w:tcW w:w="867" w:type="dxa"/>
            <w:tcBorders>
              <w:bottom w:val="single" w:color="auto" w:sz="4" w:space="0"/>
            </w:tcBorders>
            <w:noWrap/>
            <w:vAlign w:val="center"/>
          </w:tcPr>
          <w:p>
            <w:pPr>
              <w:jc w:val="center"/>
              <w:rPr>
                <w:rFonts w:ascii="宋体" w:hAnsi="宋体" w:cs="宋体"/>
                <w:sz w:val="24"/>
              </w:rPr>
            </w:pPr>
          </w:p>
        </w:tc>
        <w:tc>
          <w:tcPr>
            <w:tcW w:w="1186" w:type="dxa"/>
            <w:tcBorders>
              <w:bottom w:val="single" w:color="auto" w:sz="4" w:space="0"/>
            </w:tcBorders>
            <w:noWrap/>
            <w:vAlign w:val="center"/>
          </w:tcPr>
          <w:p>
            <w:pPr>
              <w:jc w:val="center"/>
              <w:rPr>
                <w:rFonts w:ascii="宋体" w:hAnsi="宋体" w:cs="宋体"/>
                <w:sz w:val="24"/>
              </w:rPr>
            </w:pPr>
          </w:p>
        </w:tc>
        <w:tc>
          <w:tcPr>
            <w:tcW w:w="1233" w:type="dxa"/>
            <w:tcBorders>
              <w:bottom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tcBorders>
              <w:bottom w:val="single" w:color="auto" w:sz="4" w:space="0"/>
            </w:tcBorders>
            <w:noWrap/>
            <w:vAlign w:val="center"/>
          </w:tcPr>
          <w:p>
            <w:pPr>
              <w:jc w:val="center"/>
              <w:rPr>
                <w:rFonts w:ascii="宋体" w:hAnsi="宋体" w:cs="宋体"/>
                <w:sz w:val="24"/>
              </w:rPr>
            </w:pPr>
          </w:p>
        </w:tc>
        <w:tc>
          <w:tcPr>
            <w:tcW w:w="1721" w:type="dxa"/>
            <w:tcBorders>
              <w:bottom w:val="single" w:color="auto" w:sz="4" w:space="0"/>
            </w:tcBorders>
            <w:noWrap/>
            <w:vAlign w:val="center"/>
          </w:tcPr>
          <w:p>
            <w:pPr>
              <w:jc w:val="center"/>
              <w:rPr>
                <w:rFonts w:ascii="宋体" w:hAnsi="宋体" w:cs="宋体"/>
                <w:sz w:val="24"/>
              </w:rPr>
            </w:pPr>
          </w:p>
        </w:tc>
        <w:tc>
          <w:tcPr>
            <w:tcW w:w="1417" w:type="dxa"/>
            <w:tcBorders>
              <w:bottom w:val="single" w:color="auto" w:sz="4" w:space="0"/>
            </w:tcBorders>
            <w:noWrap/>
            <w:vAlign w:val="center"/>
          </w:tcPr>
          <w:p>
            <w:pPr>
              <w:jc w:val="center"/>
              <w:rPr>
                <w:rFonts w:ascii="宋体" w:hAnsi="宋体" w:cs="宋体"/>
                <w:sz w:val="24"/>
              </w:rPr>
            </w:pPr>
          </w:p>
        </w:tc>
        <w:tc>
          <w:tcPr>
            <w:tcW w:w="1250" w:type="dxa"/>
            <w:tcBorders>
              <w:bottom w:val="single" w:color="auto" w:sz="4" w:space="0"/>
            </w:tcBorders>
            <w:noWrap/>
            <w:vAlign w:val="center"/>
          </w:tcPr>
          <w:p>
            <w:pPr>
              <w:jc w:val="center"/>
              <w:rPr>
                <w:rFonts w:ascii="宋体" w:hAnsi="宋体" w:cs="宋体"/>
                <w:sz w:val="24"/>
              </w:rPr>
            </w:pPr>
          </w:p>
        </w:tc>
        <w:tc>
          <w:tcPr>
            <w:tcW w:w="867" w:type="dxa"/>
            <w:tcBorders>
              <w:bottom w:val="single" w:color="auto" w:sz="4" w:space="0"/>
            </w:tcBorders>
            <w:noWrap/>
            <w:vAlign w:val="center"/>
          </w:tcPr>
          <w:p>
            <w:pPr>
              <w:jc w:val="center"/>
              <w:rPr>
                <w:rFonts w:ascii="宋体" w:hAnsi="宋体" w:cs="宋体"/>
                <w:sz w:val="24"/>
              </w:rPr>
            </w:pPr>
          </w:p>
        </w:tc>
        <w:tc>
          <w:tcPr>
            <w:tcW w:w="1186" w:type="dxa"/>
            <w:tcBorders>
              <w:bottom w:val="single" w:color="auto" w:sz="4" w:space="0"/>
            </w:tcBorders>
            <w:noWrap/>
            <w:vAlign w:val="center"/>
          </w:tcPr>
          <w:p>
            <w:pPr>
              <w:jc w:val="center"/>
              <w:rPr>
                <w:rFonts w:ascii="宋体" w:hAnsi="宋体" w:cs="宋体"/>
                <w:sz w:val="24"/>
              </w:rPr>
            </w:pPr>
          </w:p>
        </w:tc>
        <w:tc>
          <w:tcPr>
            <w:tcW w:w="1233" w:type="dxa"/>
            <w:tcBorders>
              <w:bottom w:val="single" w:color="auto" w:sz="4" w:space="0"/>
            </w:tcBorders>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noWrap/>
            <w:vAlign w:val="center"/>
          </w:tcPr>
          <w:p>
            <w:pPr>
              <w:jc w:val="center"/>
              <w:rPr>
                <w:rFonts w:ascii="宋体" w:hAnsi="宋体" w:cs="宋体"/>
                <w:sz w:val="24"/>
              </w:rPr>
            </w:pPr>
          </w:p>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48" w:type="dxa"/>
            <w:noWrap/>
            <w:vAlign w:val="center"/>
          </w:tcPr>
          <w:p>
            <w:pPr>
              <w:jc w:val="center"/>
              <w:rPr>
                <w:rFonts w:ascii="宋体" w:hAnsi="宋体" w:cs="宋体"/>
                <w:sz w:val="24"/>
              </w:rPr>
            </w:pPr>
          </w:p>
        </w:tc>
        <w:tc>
          <w:tcPr>
            <w:tcW w:w="1721" w:type="dxa"/>
            <w:noWrap/>
            <w:vAlign w:val="center"/>
          </w:tcPr>
          <w:p>
            <w:pPr>
              <w:jc w:val="center"/>
              <w:rPr>
                <w:rFonts w:ascii="宋体" w:hAnsi="宋体" w:cs="宋体"/>
                <w:sz w:val="24"/>
              </w:rPr>
            </w:pPr>
          </w:p>
        </w:tc>
        <w:tc>
          <w:tcPr>
            <w:tcW w:w="1417" w:type="dxa"/>
            <w:noWrap/>
            <w:vAlign w:val="center"/>
          </w:tcPr>
          <w:p>
            <w:pPr>
              <w:jc w:val="center"/>
              <w:rPr>
                <w:rFonts w:ascii="宋体" w:hAnsi="宋体" w:cs="宋体"/>
                <w:sz w:val="24"/>
              </w:rPr>
            </w:pPr>
          </w:p>
        </w:tc>
        <w:tc>
          <w:tcPr>
            <w:tcW w:w="1250" w:type="dxa"/>
            <w:noWrap/>
            <w:vAlign w:val="center"/>
          </w:tcPr>
          <w:p>
            <w:pPr>
              <w:jc w:val="center"/>
              <w:rPr>
                <w:rFonts w:ascii="宋体" w:hAnsi="宋体" w:cs="宋体"/>
                <w:sz w:val="24"/>
              </w:rPr>
            </w:pPr>
          </w:p>
        </w:tc>
        <w:tc>
          <w:tcPr>
            <w:tcW w:w="867" w:type="dxa"/>
            <w:noWrap/>
            <w:vAlign w:val="center"/>
          </w:tcPr>
          <w:p>
            <w:pPr>
              <w:jc w:val="center"/>
              <w:rPr>
                <w:rFonts w:ascii="宋体" w:hAnsi="宋体" w:cs="宋体"/>
                <w:sz w:val="24"/>
              </w:rPr>
            </w:pPr>
          </w:p>
        </w:tc>
        <w:tc>
          <w:tcPr>
            <w:tcW w:w="1186" w:type="dxa"/>
            <w:noWrap/>
            <w:vAlign w:val="center"/>
          </w:tcPr>
          <w:p>
            <w:pPr>
              <w:jc w:val="center"/>
              <w:rPr>
                <w:rFonts w:ascii="宋体" w:hAnsi="宋体" w:cs="宋体"/>
                <w:sz w:val="24"/>
              </w:rPr>
            </w:pPr>
          </w:p>
        </w:tc>
        <w:tc>
          <w:tcPr>
            <w:tcW w:w="1233" w:type="dxa"/>
            <w:noWrap/>
            <w:vAlign w:val="center"/>
          </w:tcPr>
          <w:p>
            <w:pPr>
              <w:jc w:val="center"/>
              <w:rPr>
                <w:rFonts w:ascii="宋体" w:hAnsi="宋体" w:cs="宋体"/>
                <w:sz w:val="24"/>
              </w:rPr>
            </w:pPr>
          </w:p>
        </w:tc>
      </w:tr>
    </w:tbl>
    <w:p>
      <w:pPr>
        <w:snapToGrid w:val="0"/>
        <w:spacing w:line="500" w:lineRule="exact"/>
        <w:rPr>
          <w:rFonts w:ascii="宋体" w:hAnsi="宋体" w:cs="宋体"/>
          <w:sz w:val="24"/>
        </w:rPr>
      </w:pPr>
    </w:p>
    <w:p>
      <w:pPr>
        <w:snapToGrid w:val="0"/>
        <w:spacing w:line="500" w:lineRule="exact"/>
        <w:ind w:firstLine="480" w:firstLineChars="200"/>
        <w:rPr>
          <w:rFonts w:ascii="宋体" w:hAnsi="宋体" w:cs="宋体"/>
          <w:sz w:val="24"/>
        </w:rPr>
      </w:pPr>
      <w:r>
        <w:rPr>
          <w:rFonts w:hint="eastAsia" w:ascii="宋体" w:hAnsi="宋体" w:cs="宋体"/>
          <w:sz w:val="24"/>
        </w:rPr>
        <w:t>注：1.供应商应完整填写本表。</w:t>
      </w:r>
    </w:p>
    <w:p>
      <w:pPr>
        <w:snapToGrid w:val="0"/>
        <w:spacing w:line="500" w:lineRule="exact"/>
        <w:rPr>
          <w:rFonts w:ascii="宋体" w:hAnsi="宋体" w:cs="宋体"/>
          <w:sz w:val="24"/>
        </w:rPr>
      </w:pPr>
      <w:r>
        <w:rPr>
          <w:rFonts w:hint="eastAsia" w:ascii="宋体" w:hAnsi="宋体" w:cs="宋体"/>
          <w:sz w:val="24"/>
        </w:rPr>
        <w:t xml:space="preserve">        2.该表可扩展</w:t>
      </w:r>
      <w:bookmarkStart w:id="445" w:name="OLE_LINK1"/>
      <w:bookmarkStart w:id="446" w:name="OLE_LINK2"/>
      <w:r>
        <w:rPr>
          <w:rFonts w:hint="eastAsia" w:ascii="宋体" w:hAnsi="宋体" w:cs="宋体"/>
          <w:sz w:val="24"/>
        </w:rPr>
        <w:t>。</w:t>
      </w:r>
      <w:bookmarkEnd w:id="445"/>
      <w:bookmarkEnd w:id="446"/>
    </w:p>
    <w:p>
      <w:pPr>
        <w:snapToGrid w:val="0"/>
        <w:spacing w:line="500" w:lineRule="exact"/>
        <w:rPr>
          <w:rFonts w:ascii="宋体" w:hAnsi="宋体" w:cs="宋体"/>
          <w:sz w:val="24"/>
          <w:szCs w:val="24"/>
        </w:rPr>
      </w:pPr>
    </w:p>
    <w:p>
      <w:pPr>
        <w:pStyle w:val="38"/>
        <w:spacing w:line="360" w:lineRule="auto"/>
        <w:rPr>
          <w:rFonts w:ascii="宋体" w:hAnsi="宋体" w:cs="宋体"/>
          <w:sz w:val="24"/>
          <w:szCs w:val="24"/>
        </w:rPr>
      </w:pPr>
    </w:p>
    <w:p>
      <w:pPr>
        <w:spacing w:line="360" w:lineRule="auto"/>
        <w:rPr>
          <w:rFonts w:ascii="宋体" w:hAnsi="宋体" w:cs="宋体"/>
        </w:rPr>
      </w:pPr>
      <w:r>
        <w:rPr>
          <w:rFonts w:hint="eastAsia" w:ascii="宋体" w:hAnsi="宋体" w:cs="宋体"/>
          <w:sz w:val="24"/>
          <w:szCs w:val="24"/>
        </w:rPr>
        <w:t xml:space="preserve">                                          供应商名称（公章）或自然人签署：</w:t>
      </w:r>
    </w:p>
    <w:p>
      <w:pPr>
        <w:spacing w:line="360" w:lineRule="auto"/>
        <w:ind w:right="480" w:firstLine="6480" w:firstLineChars="2700"/>
        <w:rPr>
          <w:rFonts w:ascii="宋体" w:hAnsi="宋体" w:cs="宋体"/>
          <w:sz w:val="24"/>
          <w:szCs w:val="24"/>
        </w:rPr>
      </w:pPr>
      <w:r>
        <w:rPr>
          <w:rFonts w:hint="eastAsia" w:ascii="宋体" w:hAnsi="宋体" w:cs="宋体"/>
          <w:sz w:val="24"/>
          <w:szCs w:val="24"/>
        </w:rPr>
        <w:t>年     月    日</w:t>
      </w:r>
    </w:p>
    <w:p>
      <w:pPr>
        <w:snapToGrid w:val="0"/>
        <w:spacing w:line="360" w:lineRule="auto"/>
        <w:ind w:firstLine="480" w:firstLineChars="200"/>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adjustRightInd w:val="0"/>
        <w:snapToGrid w:val="0"/>
        <w:spacing w:before="0" w:after="0" w:line="400" w:lineRule="exact"/>
        <w:ind w:firstLine="482" w:firstLineChars="200"/>
        <w:rPr>
          <w:rFonts w:ascii="宋体" w:hAnsi="宋体" w:eastAsia="宋体" w:cs="宋体"/>
          <w:sz w:val="24"/>
        </w:rPr>
      </w:pPr>
      <w:bookmarkStart w:id="447" w:name="_Toc19113"/>
      <w:bookmarkStart w:id="448" w:name="_Toc15677"/>
      <w:bookmarkStart w:id="449" w:name="_Toc5358"/>
      <w:bookmarkStart w:id="450" w:name="_Toc22655"/>
      <w:bookmarkStart w:id="451" w:name="_Toc1530"/>
      <w:bookmarkStart w:id="452" w:name="_Toc342913420"/>
      <w:bookmarkStart w:id="453" w:name="_Toc313888361"/>
      <w:bookmarkStart w:id="454" w:name="_Toc16420"/>
      <w:bookmarkStart w:id="455" w:name="_Toc26299"/>
      <w:bookmarkStart w:id="456" w:name="_Toc116294868"/>
      <w:bookmarkStart w:id="457" w:name="_Toc14073"/>
      <w:bookmarkStart w:id="458" w:name="_Toc4175"/>
      <w:bookmarkStart w:id="459" w:name="_Toc24806"/>
      <w:bookmarkStart w:id="460" w:name="_Toc65660380"/>
      <w:bookmarkStart w:id="461" w:name="_Toc12856"/>
      <w:bookmarkStart w:id="462" w:name="_Toc313008357"/>
      <w:bookmarkStart w:id="463" w:name="_Toc26085"/>
      <w:bookmarkStart w:id="464" w:name="_Toc20672"/>
      <w:r>
        <w:rPr>
          <w:rFonts w:hint="eastAsia" w:ascii="宋体" w:hAnsi="宋体" w:eastAsia="宋体" w:cs="宋体"/>
          <w:sz w:val="24"/>
        </w:rPr>
        <w:t>二、技术（质量）部分</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spacing w:line="400" w:lineRule="exact"/>
        <w:ind w:firstLine="480" w:firstLineChars="200"/>
        <w:rPr>
          <w:rFonts w:ascii="宋体" w:hAnsi="宋体" w:cs="宋体"/>
          <w:sz w:val="24"/>
          <w:szCs w:val="24"/>
        </w:rPr>
      </w:pPr>
      <w:r>
        <w:rPr>
          <w:rFonts w:hint="eastAsia" w:ascii="宋体" w:hAnsi="宋体" w:cs="宋体"/>
          <w:sz w:val="24"/>
          <w:szCs w:val="24"/>
        </w:rPr>
        <w:t>（一）技术（质量）响应偏离表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项目号：                               </w:t>
      </w:r>
    </w:p>
    <w:p>
      <w:pPr>
        <w:spacing w:line="400" w:lineRule="exact"/>
        <w:ind w:firstLine="480" w:firstLineChars="200"/>
        <w:rPr>
          <w:rFonts w:ascii="宋体" w:hAnsi="宋体" w:cs="宋体"/>
          <w:sz w:val="24"/>
          <w:szCs w:val="24"/>
        </w:rPr>
      </w:pPr>
      <w:r>
        <w:rPr>
          <w:rFonts w:hint="eastAsia" w:ascii="宋体" w:hAnsi="宋体" w:cs="宋体"/>
          <w:sz w:val="24"/>
          <w:szCs w:val="24"/>
        </w:rPr>
        <w:t>询价项目名称：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ign w:val="center"/>
          </w:tcPr>
          <w:p>
            <w:pPr>
              <w:tabs>
                <w:tab w:val="left" w:pos="6300"/>
              </w:tabs>
              <w:snapToGrid w:val="0"/>
              <w:jc w:val="center"/>
              <w:outlineLvl w:val="0"/>
              <w:rPr>
                <w:rFonts w:ascii="宋体" w:hAnsi="宋体" w:cs="宋体"/>
                <w:b/>
                <w:sz w:val="21"/>
                <w:szCs w:val="21"/>
              </w:rPr>
            </w:pPr>
            <w:bookmarkStart w:id="465" w:name="_Toc13652"/>
            <w:bookmarkStart w:id="466" w:name="_Toc1681"/>
            <w:r>
              <w:rPr>
                <w:rFonts w:hint="eastAsia" w:ascii="宋体" w:hAnsi="宋体" w:cs="宋体"/>
                <w:b/>
                <w:sz w:val="21"/>
                <w:szCs w:val="21"/>
              </w:rPr>
              <w:t>序号</w:t>
            </w:r>
            <w:bookmarkEnd w:id="465"/>
            <w:bookmarkEnd w:id="466"/>
          </w:p>
        </w:tc>
        <w:tc>
          <w:tcPr>
            <w:tcW w:w="2844" w:type="dxa"/>
            <w:noWrap/>
            <w:vAlign w:val="center"/>
          </w:tcPr>
          <w:p>
            <w:pPr>
              <w:tabs>
                <w:tab w:val="left" w:pos="6300"/>
              </w:tabs>
              <w:snapToGrid w:val="0"/>
              <w:jc w:val="center"/>
              <w:outlineLvl w:val="0"/>
              <w:rPr>
                <w:rFonts w:ascii="宋体" w:hAnsi="宋体" w:cs="宋体"/>
                <w:b/>
                <w:sz w:val="21"/>
                <w:szCs w:val="21"/>
              </w:rPr>
            </w:pPr>
            <w:bookmarkStart w:id="467" w:name="_Toc24028"/>
            <w:bookmarkStart w:id="468" w:name="_Toc28937"/>
            <w:r>
              <w:rPr>
                <w:rFonts w:hint="eastAsia" w:ascii="宋体" w:hAnsi="宋体" w:cs="宋体"/>
                <w:b/>
                <w:sz w:val="21"/>
                <w:szCs w:val="21"/>
              </w:rPr>
              <w:t>采购需求</w:t>
            </w:r>
            <w:bookmarkEnd w:id="467"/>
            <w:bookmarkEnd w:id="468"/>
          </w:p>
        </w:tc>
        <w:tc>
          <w:tcPr>
            <w:tcW w:w="2952" w:type="dxa"/>
            <w:noWrap/>
            <w:vAlign w:val="center"/>
          </w:tcPr>
          <w:p>
            <w:pPr>
              <w:tabs>
                <w:tab w:val="left" w:pos="6300"/>
              </w:tabs>
              <w:snapToGrid w:val="0"/>
              <w:jc w:val="center"/>
              <w:outlineLvl w:val="0"/>
              <w:rPr>
                <w:rFonts w:ascii="宋体" w:hAnsi="宋体" w:cs="宋体"/>
                <w:b/>
                <w:sz w:val="21"/>
                <w:szCs w:val="21"/>
              </w:rPr>
            </w:pPr>
            <w:bookmarkStart w:id="469" w:name="_Toc2377"/>
            <w:bookmarkStart w:id="470" w:name="_Toc29402"/>
            <w:r>
              <w:rPr>
                <w:rFonts w:hint="eastAsia" w:ascii="宋体" w:hAnsi="宋体" w:cs="宋体"/>
                <w:b/>
                <w:sz w:val="21"/>
                <w:szCs w:val="21"/>
              </w:rPr>
              <w:t>响应情况</w:t>
            </w:r>
            <w:bookmarkEnd w:id="469"/>
            <w:bookmarkEnd w:id="470"/>
          </w:p>
        </w:tc>
        <w:tc>
          <w:tcPr>
            <w:tcW w:w="2212" w:type="dxa"/>
            <w:noWrap/>
            <w:vAlign w:val="center"/>
          </w:tcPr>
          <w:p>
            <w:pPr>
              <w:tabs>
                <w:tab w:val="left" w:pos="6300"/>
              </w:tabs>
              <w:snapToGrid w:val="0"/>
              <w:jc w:val="center"/>
              <w:outlineLvl w:val="0"/>
              <w:rPr>
                <w:rFonts w:ascii="宋体" w:hAnsi="宋体" w:cs="宋体"/>
                <w:b/>
                <w:sz w:val="21"/>
                <w:szCs w:val="21"/>
              </w:rPr>
            </w:pPr>
            <w:bookmarkStart w:id="471" w:name="_Toc18140"/>
            <w:bookmarkStart w:id="472" w:name="_Toc1329"/>
            <w:r>
              <w:rPr>
                <w:rFonts w:hint="eastAsia" w:ascii="宋体" w:hAnsi="宋体" w:cs="宋体"/>
                <w:b/>
                <w:sz w:val="21"/>
                <w:szCs w:val="21"/>
              </w:rPr>
              <w:t>差异说明</w:t>
            </w:r>
            <w:bookmarkEnd w:id="471"/>
            <w:bookmarkEnd w:id="4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bookmarkStart w:id="473" w:name="_Toc478"/>
            <w:bookmarkStart w:id="474" w:name="_Toc13416"/>
            <w:r>
              <w:rPr>
                <w:rFonts w:hint="eastAsia" w:ascii="宋体" w:hAnsi="宋体" w:cs="宋体"/>
                <w:sz w:val="21"/>
                <w:szCs w:val="21"/>
              </w:rPr>
              <w:t>提醒：请注明技术参数或具体内容以及响应文件中技术参数或具体内容的位置（页码）</w:t>
            </w:r>
            <w:bookmarkEnd w:id="473"/>
            <w:bookmarkEnd w:id="474"/>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ign w:val="center"/>
          </w:tcPr>
          <w:p>
            <w:pPr>
              <w:tabs>
                <w:tab w:val="left" w:pos="6300"/>
              </w:tabs>
              <w:snapToGrid w:val="0"/>
              <w:jc w:val="center"/>
              <w:outlineLvl w:val="0"/>
              <w:rPr>
                <w:rFonts w:ascii="宋体" w:hAnsi="宋体" w:cs="宋体"/>
                <w:sz w:val="21"/>
                <w:szCs w:val="21"/>
              </w:rPr>
            </w:pPr>
          </w:p>
        </w:tc>
        <w:tc>
          <w:tcPr>
            <w:tcW w:w="2844" w:type="dxa"/>
            <w:noWrap/>
            <w:vAlign w:val="center"/>
          </w:tcPr>
          <w:p>
            <w:pPr>
              <w:tabs>
                <w:tab w:val="left" w:pos="6300"/>
              </w:tabs>
              <w:snapToGrid w:val="0"/>
              <w:jc w:val="center"/>
              <w:outlineLvl w:val="0"/>
              <w:rPr>
                <w:rFonts w:ascii="宋体" w:hAnsi="宋体" w:cs="宋体"/>
                <w:sz w:val="21"/>
                <w:szCs w:val="21"/>
              </w:rPr>
            </w:pPr>
          </w:p>
        </w:tc>
        <w:tc>
          <w:tcPr>
            <w:tcW w:w="2952" w:type="dxa"/>
            <w:noWrap/>
            <w:vAlign w:val="center"/>
          </w:tcPr>
          <w:p>
            <w:pPr>
              <w:tabs>
                <w:tab w:val="left" w:pos="6300"/>
              </w:tabs>
              <w:snapToGrid w:val="0"/>
              <w:jc w:val="center"/>
              <w:outlineLvl w:val="0"/>
              <w:rPr>
                <w:rFonts w:ascii="宋体" w:hAnsi="宋体" w:cs="宋体"/>
                <w:sz w:val="21"/>
                <w:szCs w:val="21"/>
              </w:rPr>
            </w:pPr>
          </w:p>
        </w:tc>
        <w:tc>
          <w:tcPr>
            <w:tcW w:w="2212" w:type="dxa"/>
            <w:noWrap/>
            <w:vAlign w:val="center"/>
          </w:tcPr>
          <w:p>
            <w:pPr>
              <w:tabs>
                <w:tab w:val="left" w:pos="6300"/>
              </w:tabs>
              <w:snapToGrid w:val="0"/>
              <w:jc w:val="center"/>
              <w:outlineLvl w:val="0"/>
              <w:rPr>
                <w:rFonts w:ascii="宋体" w:hAnsi="宋体" w:cs="宋体"/>
                <w:sz w:val="21"/>
                <w:szCs w:val="21"/>
              </w:rPr>
            </w:pPr>
          </w:p>
        </w:tc>
      </w:tr>
    </w:tbl>
    <w:p>
      <w:pPr>
        <w:spacing w:line="500" w:lineRule="exact"/>
        <w:ind w:firstLine="600" w:firstLineChars="250"/>
        <w:rPr>
          <w:rFonts w:ascii="宋体" w:hAnsi="宋体" w:cs="宋体"/>
          <w:sz w:val="24"/>
        </w:rPr>
      </w:pPr>
      <w:r>
        <w:rPr>
          <w:rFonts w:hint="eastAsia" w:ascii="宋体" w:hAnsi="宋体" w:cs="宋体"/>
          <w:sz w:val="24"/>
        </w:rPr>
        <w:t xml:space="preserve">供应商：                         </w:t>
      </w:r>
      <w:r>
        <w:rPr>
          <w:rFonts w:hint="eastAsia" w:ascii="宋体" w:hAnsi="宋体" w:cs="宋体"/>
          <w:sz w:val="24"/>
          <w:szCs w:val="24"/>
        </w:rPr>
        <w:t>法定代表人（或其授权代表）或自然人</w:t>
      </w:r>
      <w:r>
        <w:rPr>
          <w:rFonts w:hint="eastAsia" w:ascii="宋体" w:hAnsi="宋体" w:cs="宋体"/>
          <w:sz w:val="24"/>
        </w:rPr>
        <w:t>：</w:t>
      </w:r>
    </w:p>
    <w:p>
      <w:pPr>
        <w:spacing w:line="500" w:lineRule="exact"/>
        <w:rPr>
          <w:rFonts w:ascii="宋体" w:hAnsi="宋体" w:cs="宋体"/>
          <w:sz w:val="24"/>
        </w:rPr>
      </w:pPr>
    </w:p>
    <w:p>
      <w:pPr>
        <w:spacing w:line="500" w:lineRule="exact"/>
        <w:ind w:firstLine="720" w:firstLineChars="300"/>
        <w:rPr>
          <w:rFonts w:ascii="宋体" w:hAnsi="宋体" w:cs="宋体"/>
          <w:sz w:val="24"/>
        </w:rPr>
      </w:pPr>
      <w:r>
        <w:rPr>
          <w:rFonts w:hint="eastAsia" w:ascii="宋体" w:hAnsi="宋体" w:cs="宋体"/>
          <w:sz w:val="24"/>
        </w:rPr>
        <w:t>（供应商公章）                               （</w:t>
      </w:r>
      <w:r>
        <w:rPr>
          <w:rFonts w:hint="eastAsia" w:ascii="宋体" w:hAnsi="宋体" w:cs="宋体"/>
          <w:sz w:val="24"/>
          <w:szCs w:val="24"/>
        </w:rPr>
        <w:t>签署</w:t>
      </w:r>
      <w:r>
        <w:rPr>
          <w:rFonts w:hint="eastAsia" w:ascii="宋体" w:hAnsi="宋体" w:cs="宋体"/>
          <w:sz w:val="24"/>
        </w:rPr>
        <w:t>或盖章）</w:t>
      </w: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4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4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w:t>
      </w:r>
      <w:r>
        <w:rPr>
          <w:rFonts w:hint="eastAsia" w:ascii="宋体" w:hAnsi="宋体" w:cs="宋体"/>
          <w:sz w:val="24"/>
          <w:szCs w:val="24"/>
        </w:rPr>
        <w:t>本表即为对本项目“第二篇  询价项目技术（质量）需求”中所列条款进行比较和响应；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2.本表可扩展。</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br w:type="page"/>
      </w:r>
      <w:r>
        <w:rPr>
          <w:rFonts w:hint="eastAsia" w:ascii="宋体" w:hAnsi="宋体" w:cs="宋体"/>
          <w:sz w:val="24"/>
          <w:szCs w:val="24"/>
        </w:rPr>
        <w:t>（二）其他资料（格式自定）</w:t>
      </w:r>
    </w:p>
    <w:p>
      <w:pPr>
        <w:tabs>
          <w:tab w:val="left" w:pos="6300"/>
        </w:tabs>
        <w:snapToGrid w:val="0"/>
        <w:spacing w:line="500" w:lineRule="exact"/>
        <w:ind w:firstLine="480" w:firstLineChars="200"/>
        <w:rPr>
          <w:rFonts w:ascii="宋体" w:hAnsi="宋体" w:cs="宋体"/>
          <w:sz w:val="24"/>
          <w:szCs w:val="24"/>
        </w:rPr>
      </w:pPr>
    </w:p>
    <w:p>
      <w:pPr>
        <w:pStyle w:val="5"/>
        <w:adjustRightInd w:val="0"/>
        <w:snapToGrid w:val="0"/>
        <w:spacing w:before="0" w:after="0" w:line="400" w:lineRule="exact"/>
        <w:ind w:firstLine="640" w:firstLineChars="200"/>
        <w:rPr>
          <w:rFonts w:ascii="宋体" w:hAnsi="宋体" w:eastAsia="宋体" w:cs="宋体"/>
          <w:sz w:val="24"/>
        </w:rPr>
      </w:pPr>
      <w:r>
        <w:rPr>
          <w:rFonts w:hint="eastAsia" w:ascii="宋体" w:hAnsi="宋体" w:eastAsia="宋体" w:cs="宋体"/>
          <w:b w:val="0"/>
        </w:rPr>
        <w:br w:type="page"/>
      </w:r>
      <w:bookmarkStart w:id="475" w:name="_Toc27881"/>
      <w:bookmarkStart w:id="476" w:name="_Toc9597"/>
      <w:bookmarkStart w:id="477" w:name="_Toc32158"/>
      <w:bookmarkStart w:id="478" w:name="_Toc30106"/>
      <w:bookmarkStart w:id="479" w:name="_Toc65660381"/>
      <w:bookmarkStart w:id="480" w:name="_Toc27717"/>
      <w:bookmarkStart w:id="481" w:name="_Toc476"/>
      <w:bookmarkStart w:id="482" w:name="_Toc14641"/>
      <w:bookmarkStart w:id="483" w:name="_Toc12004"/>
      <w:bookmarkStart w:id="484" w:name="_Toc116294869"/>
      <w:bookmarkStart w:id="485" w:name="_Toc30781"/>
      <w:bookmarkStart w:id="486" w:name="_Toc18441"/>
      <w:bookmarkStart w:id="487" w:name="_Toc8602"/>
      <w:bookmarkStart w:id="488" w:name="_Toc27463"/>
      <w:bookmarkStart w:id="489" w:name="_Toc32339"/>
      <w:bookmarkStart w:id="490" w:name="_Toc313888362"/>
      <w:bookmarkStart w:id="491" w:name="_Toc313008358"/>
      <w:bookmarkStart w:id="492" w:name="_Toc342913421"/>
      <w:r>
        <w:rPr>
          <w:rFonts w:hint="eastAsia" w:ascii="宋体" w:hAnsi="宋体" w:eastAsia="宋体" w:cs="宋体"/>
          <w:sz w:val="24"/>
        </w:rPr>
        <w:t>三、服务部分</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spacing w:line="400" w:lineRule="exact"/>
        <w:ind w:firstLine="480" w:firstLineChars="200"/>
        <w:rPr>
          <w:rFonts w:ascii="宋体" w:hAnsi="宋体" w:cs="宋体"/>
          <w:sz w:val="24"/>
          <w:szCs w:val="24"/>
        </w:rPr>
      </w:pPr>
      <w:r>
        <w:rPr>
          <w:rFonts w:hint="eastAsia" w:ascii="宋体" w:hAnsi="宋体" w:cs="宋体"/>
          <w:sz w:val="24"/>
          <w:szCs w:val="24"/>
        </w:rPr>
        <w:t>（一）服务响应偏离表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项目号：                               </w:t>
      </w:r>
    </w:p>
    <w:p>
      <w:pPr>
        <w:spacing w:line="400" w:lineRule="exact"/>
        <w:ind w:firstLine="480" w:firstLineChars="200"/>
        <w:rPr>
          <w:rFonts w:ascii="宋体" w:hAnsi="宋体" w:cs="宋体"/>
          <w:sz w:val="24"/>
          <w:szCs w:val="24"/>
        </w:rPr>
      </w:pPr>
      <w:r>
        <w:rPr>
          <w:rFonts w:hint="eastAsia" w:ascii="宋体" w:hAnsi="宋体" w:cs="宋体"/>
          <w:sz w:val="24"/>
          <w:szCs w:val="24"/>
        </w:rPr>
        <w:t>询价项目名称：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ign w:val="center"/>
          </w:tcPr>
          <w:p>
            <w:pPr>
              <w:tabs>
                <w:tab w:val="left" w:pos="6300"/>
              </w:tabs>
              <w:snapToGrid w:val="0"/>
              <w:jc w:val="center"/>
              <w:outlineLvl w:val="0"/>
              <w:rPr>
                <w:rFonts w:ascii="宋体" w:hAnsi="宋体" w:cs="宋体"/>
                <w:b/>
                <w:sz w:val="21"/>
                <w:szCs w:val="24"/>
              </w:rPr>
            </w:pPr>
            <w:bookmarkStart w:id="493" w:name="_Toc456"/>
            <w:bookmarkStart w:id="494" w:name="_Toc3154"/>
            <w:r>
              <w:rPr>
                <w:rFonts w:hint="eastAsia" w:ascii="宋体" w:hAnsi="宋体" w:cs="宋体"/>
                <w:b/>
                <w:sz w:val="21"/>
                <w:szCs w:val="24"/>
              </w:rPr>
              <w:t>序号</w:t>
            </w:r>
            <w:bookmarkEnd w:id="493"/>
            <w:bookmarkEnd w:id="494"/>
          </w:p>
        </w:tc>
        <w:tc>
          <w:tcPr>
            <w:tcW w:w="3184" w:type="dxa"/>
            <w:noWrap/>
            <w:vAlign w:val="center"/>
          </w:tcPr>
          <w:p>
            <w:pPr>
              <w:tabs>
                <w:tab w:val="left" w:pos="6300"/>
              </w:tabs>
              <w:snapToGrid w:val="0"/>
              <w:jc w:val="center"/>
              <w:outlineLvl w:val="0"/>
              <w:rPr>
                <w:rFonts w:ascii="宋体" w:hAnsi="宋体" w:cs="宋体"/>
                <w:b/>
                <w:sz w:val="21"/>
                <w:szCs w:val="24"/>
              </w:rPr>
            </w:pPr>
            <w:bookmarkStart w:id="495" w:name="_Toc31189"/>
            <w:bookmarkStart w:id="496" w:name="_Toc6966"/>
            <w:r>
              <w:rPr>
                <w:rFonts w:hint="eastAsia" w:ascii="宋体" w:hAnsi="宋体" w:cs="宋体"/>
                <w:b/>
                <w:sz w:val="21"/>
                <w:szCs w:val="24"/>
              </w:rPr>
              <w:t>采购需求</w:t>
            </w:r>
            <w:bookmarkEnd w:id="495"/>
            <w:bookmarkEnd w:id="496"/>
          </w:p>
        </w:tc>
        <w:tc>
          <w:tcPr>
            <w:tcW w:w="2438" w:type="dxa"/>
            <w:noWrap/>
            <w:vAlign w:val="center"/>
          </w:tcPr>
          <w:p>
            <w:pPr>
              <w:tabs>
                <w:tab w:val="left" w:pos="6300"/>
              </w:tabs>
              <w:snapToGrid w:val="0"/>
              <w:jc w:val="center"/>
              <w:outlineLvl w:val="0"/>
              <w:rPr>
                <w:rFonts w:ascii="宋体" w:hAnsi="宋体" w:cs="宋体"/>
                <w:b/>
                <w:sz w:val="21"/>
                <w:szCs w:val="24"/>
              </w:rPr>
            </w:pPr>
            <w:bookmarkStart w:id="497" w:name="_Toc17913"/>
            <w:bookmarkStart w:id="498" w:name="_Toc19754"/>
            <w:r>
              <w:rPr>
                <w:rFonts w:hint="eastAsia" w:ascii="宋体" w:hAnsi="宋体" w:cs="宋体"/>
                <w:b/>
                <w:sz w:val="21"/>
                <w:szCs w:val="24"/>
              </w:rPr>
              <w:t>响应情况</w:t>
            </w:r>
            <w:bookmarkEnd w:id="497"/>
            <w:bookmarkEnd w:id="498"/>
          </w:p>
        </w:tc>
        <w:tc>
          <w:tcPr>
            <w:tcW w:w="2359" w:type="dxa"/>
            <w:noWrap/>
            <w:vAlign w:val="center"/>
          </w:tcPr>
          <w:p>
            <w:pPr>
              <w:tabs>
                <w:tab w:val="left" w:pos="6300"/>
              </w:tabs>
              <w:snapToGrid w:val="0"/>
              <w:jc w:val="center"/>
              <w:outlineLvl w:val="0"/>
              <w:rPr>
                <w:rFonts w:ascii="宋体" w:hAnsi="宋体" w:cs="宋体"/>
                <w:b/>
                <w:sz w:val="21"/>
                <w:szCs w:val="24"/>
              </w:rPr>
            </w:pPr>
            <w:bookmarkStart w:id="499" w:name="_Toc2678"/>
            <w:bookmarkStart w:id="500" w:name="_Toc24837"/>
            <w:r>
              <w:rPr>
                <w:rFonts w:hint="eastAsia" w:ascii="宋体" w:hAnsi="宋体" w:cs="宋体"/>
                <w:b/>
                <w:sz w:val="21"/>
                <w:szCs w:val="21"/>
              </w:rPr>
              <w:t>差异说明</w:t>
            </w:r>
            <w:bookmarkEnd w:id="499"/>
            <w:bookmarkEnd w:id="5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outlineLvl w:val="0"/>
              <w:rPr>
                <w:rFonts w:ascii="宋体" w:hAnsi="宋体" w:cs="宋体"/>
                <w:sz w:val="21"/>
                <w:szCs w:val="24"/>
              </w:rPr>
            </w:pPr>
            <w:bookmarkStart w:id="501" w:name="_Toc19829"/>
            <w:bookmarkStart w:id="502" w:name="_Toc31492"/>
            <w:r>
              <w:rPr>
                <w:rFonts w:hint="eastAsia" w:ascii="宋体" w:hAnsi="宋体" w:cs="宋体"/>
                <w:sz w:val="21"/>
                <w:szCs w:val="21"/>
              </w:rPr>
              <w:t>提醒：请注明具体内容以及响应文件中具体内容的位置（页码）</w:t>
            </w:r>
            <w:bookmarkEnd w:id="501"/>
            <w:bookmarkEnd w:id="502"/>
          </w:p>
        </w:tc>
        <w:tc>
          <w:tcPr>
            <w:tcW w:w="2359" w:type="dxa"/>
            <w:noWrap/>
            <w:vAlign w:val="center"/>
          </w:tcPr>
          <w:p>
            <w:pPr>
              <w:tabs>
                <w:tab w:val="left" w:pos="6300"/>
              </w:tabs>
              <w:snapToGrid w:val="0"/>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jc w:val="center"/>
              <w:outlineLvl w:val="0"/>
              <w:rPr>
                <w:rFonts w:ascii="宋体" w:hAnsi="宋体" w:cs="宋体"/>
                <w:sz w:val="21"/>
                <w:szCs w:val="24"/>
              </w:rPr>
            </w:pPr>
          </w:p>
        </w:tc>
        <w:tc>
          <w:tcPr>
            <w:tcW w:w="2359" w:type="dxa"/>
            <w:noWrap/>
            <w:vAlign w:val="center"/>
          </w:tcPr>
          <w:p>
            <w:pPr>
              <w:tabs>
                <w:tab w:val="left" w:pos="6300"/>
              </w:tabs>
              <w:snapToGrid w:val="0"/>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jc w:val="center"/>
              <w:outlineLvl w:val="0"/>
              <w:rPr>
                <w:rFonts w:ascii="宋体" w:hAnsi="宋体" w:cs="宋体"/>
                <w:sz w:val="21"/>
                <w:szCs w:val="24"/>
              </w:rPr>
            </w:pPr>
          </w:p>
        </w:tc>
        <w:tc>
          <w:tcPr>
            <w:tcW w:w="2359" w:type="dxa"/>
            <w:noWrap/>
            <w:vAlign w:val="center"/>
          </w:tcPr>
          <w:p>
            <w:pPr>
              <w:tabs>
                <w:tab w:val="left" w:pos="6300"/>
              </w:tabs>
              <w:snapToGrid w:val="0"/>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jc w:val="center"/>
              <w:outlineLvl w:val="0"/>
              <w:rPr>
                <w:rFonts w:ascii="宋体" w:hAnsi="宋体" w:cs="宋体"/>
                <w:sz w:val="21"/>
                <w:szCs w:val="24"/>
              </w:rPr>
            </w:pPr>
          </w:p>
        </w:tc>
        <w:tc>
          <w:tcPr>
            <w:tcW w:w="2359" w:type="dxa"/>
            <w:noWrap/>
            <w:vAlign w:val="center"/>
          </w:tcPr>
          <w:p>
            <w:pPr>
              <w:tabs>
                <w:tab w:val="left" w:pos="6300"/>
              </w:tabs>
              <w:snapToGrid w:val="0"/>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jc w:val="center"/>
              <w:outlineLvl w:val="0"/>
              <w:rPr>
                <w:rFonts w:ascii="宋体" w:hAnsi="宋体" w:cs="宋体"/>
                <w:sz w:val="21"/>
                <w:szCs w:val="24"/>
              </w:rPr>
            </w:pPr>
          </w:p>
        </w:tc>
        <w:tc>
          <w:tcPr>
            <w:tcW w:w="2359" w:type="dxa"/>
            <w:noWrap/>
            <w:vAlign w:val="center"/>
          </w:tcPr>
          <w:p>
            <w:pPr>
              <w:tabs>
                <w:tab w:val="left" w:pos="6300"/>
              </w:tabs>
              <w:snapToGrid w:val="0"/>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ign w:val="center"/>
          </w:tcPr>
          <w:p>
            <w:pPr>
              <w:tabs>
                <w:tab w:val="left" w:pos="6300"/>
              </w:tabs>
              <w:snapToGrid w:val="0"/>
              <w:jc w:val="center"/>
              <w:outlineLvl w:val="0"/>
              <w:rPr>
                <w:rFonts w:ascii="宋体" w:hAnsi="宋体" w:cs="宋体"/>
                <w:sz w:val="21"/>
                <w:szCs w:val="24"/>
              </w:rPr>
            </w:pPr>
          </w:p>
        </w:tc>
        <w:tc>
          <w:tcPr>
            <w:tcW w:w="3184" w:type="dxa"/>
            <w:noWrap/>
            <w:vAlign w:val="center"/>
          </w:tcPr>
          <w:p>
            <w:pPr>
              <w:tabs>
                <w:tab w:val="left" w:pos="6300"/>
              </w:tabs>
              <w:snapToGrid w:val="0"/>
              <w:jc w:val="center"/>
              <w:outlineLvl w:val="0"/>
              <w:rPr>
                <w:rFonts w:ascii="宋体" w:hAnsi="宋体" w:cs="宋体"/>
                <w:sz w:val="21"/>
                <w:szCs w:val="24"/>
              </w:rPr>
            </w:pPr>
          </w:p>
        </w:tc>
        <w:tc>
          <w:tcPr>
            <w:tcW w:w="2438" w:type="dxa"/>
            <w:noWrap/>
            <w:vAlign w:val="center"/>
          </w:tcPr>
          <w:p>
            <w:pPr>
              <w:tabs>
                <w:tab w:val="left" w:pos="6300"/>
              </w:tabs>
              <w:snapToGrid w:val="0"/>
              <w:jc w:val="center"/>
              <w:outlineLvl w:val="0"/>
              <w:rPr>
                <w:rFonts w:ascii="宋体" w:hAnsi="宋体" w:cs="宋体"/>
                <w:sz w:val="21"/>
                <w:szCs w:val="24"/>
              </w:rPr>
            </w:pPr>
          </w:p>
        </w:tc>
        <w:tc>
          <w:tcPr>
            <w:tcW w:w="2359" w:type="dxa"/>
            <w:noWrap/>
            <w:vAlign w:val="center"/>
          </w:tcPr>
          <w:p>
            <w:pPr>
              <w:tabs>
                <w:tab w:val="left" w:pos="6300"/>
              </w:tabs>
              <w:snapToGrid w:val="0"/>
              <w:jc w:val="center"/>
              <w:outlineLvl w:val="0"/>
              <w:rPr>
                <w:rFonts w:ascii="宋体" w:hAnsi="宋体" w:cs="宋体"/>
                <w:sz w:val="21"/>
                <w:szCs w:val="24"/>
              </w:rPr>
            </w:pPr>
          </w:p>
        </w:tc>
      </w:tr>
    </w:tbl>
    <w:p>
      <w:pPr>
        <w:spacing w:line="500" w:lineRule="exact"/>
        <w:ind w:firstLine="600" w:firstLineChars="250"/>
        <w:rPr>
          <w:rFonts w:ascii="宋体" w:hAnsi="宋体" w:cs="宋体"/>
          <w:sz w:val="24"/>
        </w:rPr>
      </w:pPr>
      <w:r>
        <w:rPr>
          <w:rFonts w:hint="eastAsia" w:ascii="宋体" w:hAnsi="宋体" w:cs="宋体"/>
          <w:sz w:val="24"/>
        </w:rPr>
        <w:t xml:space="preserve">供应商：                          </w:t>
      </w:r>
      <w:r>
        <w:rPr>
          <w:rFonts w:hint="eastAsia" w:ascii="宋体" w:hAnsi="宋体" w:cs="宋体"/>
          <w:sz w:val="24"/>
          <w:szCs w:val="24"/>
        </w:rPr>
        <w:t>法定代表人（或其授权代表）或自然人</w:t>
      </w:r>
      <w:r>
        <w:rPr>
          <w:rFonts w:hint="eastAsia" w:ascii="宋体" w:hAnsi="宋体" w:cs="宋体"/>
          <w:sz w:val="24"/>
        </w:rPr>
        <w:t>：</w:t>
      </w:r>
    </w:p>
    <w:p>
      <w:pPr>
        <w:spacing w:line="500" w:lineRule="exact"/>
        <w:rPr>
          <w:rFonts w:ascii="宋体" w:hAnsi="宋体" w:cs="宋体"/>
          <w:sz w:val="24"/>
        </w:rPr>
      </w:pPr>
    </w:p>
    <w:p>
      <w:pPr>
        <w:spacing w:line="500" w:lineRule="exact"/>
        <w:ind w:firstLine="360" w:firstLineChars="150"/>
        <w:rPr>
          <w:rFonts w:ascii="宋体" w:hAnsi="宋体" w:cs="宋体"/>
          <w:sz w:val="24"/>
        </w:rPr>
      </w:pPr>
      <w:r>
        <w:rPr>
          <w:rFonts w:hint="eastAsia" w:ascii="宋体" w:hAnsi="宋体" w:cs="宋体"/>
          <w:sz w:val="24"/>
        </w:rPr>
        <w:t>（供应商公章）                                     （签署或盖章）</w:t>
      </w: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4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4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w:t>
      </w:r>
      <w:r>
        <w:rPr>
          <w:rFonts w:hint="eastAsia" w:ascii="宋体" w:hAnsi="宋体" w:cs="宋体"/>
          <w:sz w:val="24"/>
          <w:szCs w:val="24"/>
        </w:rPr>
        <w:t>本表即为对本项目“第二篇  询价项目服务需求”中所列条款进行比较和响应；</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rPr>
        <w:t>2.本表可扩展</w:t>
      </w:r>
      <w:r>
        <w:rPr>
          <w:rFonts w:hint="eastAsia" w:ascii="宋体" w:hAnsi="宋体" w:cs="宋体"/>
          <w:sz w:val="24"/>
          <w:szCs w:val="24"/>
        </w:rPr>
        <w:t>。</w:t>
      </w:r>
    </w:p>
    <w:p>
      <w:pPr>
        <w:tabs>
          <w:tab w:val="left" w:pos="6300"/>
        </w:tabs>
        <w:snapToGrid w:val="0"/>
        <w:spacing w:line="480" w:lineRule="exact"/>
        <w:ind w:firstLine="480" w:firstLineChars="200"/>
        <w:rPr>
          <w:rFonts w:ascii="宋体" w:hAnsi="宋体" w:cs="宋体"/>
          <w:sz w:val="24"/>
          <w:szCs w:val="24"/>
        </w:rPr>
      </w:pP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（二）其它优惠服务承诺（格式自定）</w:t>
      </w:r>
    </w:p>
    <w:p>
      <w:pPr>
        <w:tabs>
          <w:tab w:val="left" w:pos="6300"/>
        </w:tabs>
        <w:snapToGrid w:val="0"/>
        <w:spacing w:line="480" w:lineRule="exact"/>
        <w:ind w:firstLine="480" w:firstLineChars="200"/>
        <w:rPr>
          <w:rFonts w:ascii="宋体" w:hAnsi="宋体" w:cs="宋体"/>
          <w:sz w:val="24"/>
          <w:szCs w:val="24"/>
        </w:rPr>
      </w:pPr>
    </w:p>
    <w:p>
      <w:pPr>
        <w:pStyle w:val="5"/>
        <w:adjustRightInd w:val="0"/>
        <w:snapToGrid w:val="0"/>
        <w:spacing w:before="0" w:after="0" w:line="400" w:lineRule="exact"/>
        <w:ind w:firstLine="482" w:firstLineChars="200"/>
        <w:rPr>
          <w:rFonts w:ascii="宋体" w:hAnsi="宋体" w:eastAsia="宋体" w:cs="宋体"/>
          <w:sz w:val="24"/>
        </w:rPr>
      </w:pPr>
      <w:r>
        <w:rPr>
          <w:rFonts w:hint="eastAsia" w:ascii="宋体" w:hAnsi="宋体" w:eastAsia="宋体" w:cs="宋体"/>
          <w:sz w:val="24"/>
          <w:szCs w:val="24"/>
        </w:rPr>
        <w:br w:type="page"/>
      </w:r>
      <w:bookmarkStart w:id="503" w:name="_Toc2082"/>
      <w:bookmarkStart w:id="504" w:name="_Toc20195"/>
      <w:bookmarkStart w:id="505" w:name="_Toc20162"/>
      <w:bookmarkStart w:id="506" w:name="_Toc29763"/>
      <w:bookmarkStart w:id="507" w:name="_Toc8433"/>
      <w:bookmarkStart w:id="508" w:name="_Toc65660382"/>
      <w:bookmarkStart w:id="509" w:name="_Toc29064"/>
      <w:bookmarkStart w:id="510" w:name="_Toc10517"/>
      <w:bookmarkStart w:id="511" w:name="_Toc21793"/>
      <w:bookmarkStart w:id="512" w:name="_Toc5854"/>
      <w:bookmarkStart w:id="513" w:name="_Toc3678"/>
      <w:bookmarkStart w:id="514" w:name="_Toc30318"/>
      <w:bookmarkStart w:id="515" w:name="_Toc26579"/>
      <w:bookmarkStart w:id="516" w:name="_Toc116294870"/>
      <w:bookmarkStart w:id="517" w:name="_Toc15055"/>
      <w:r>
        <w:rPr>
          <w:rFonts w:hint="eastAsia" w:ascii="宋体" w:hAnsi="宋体" w:eastAsia="宋体" w:cs="宋体"/>
          <w:sz w:val="24"/>
        </w:rPr>
        <w:t>四、</w:t>
      </w:r>
      <w:bookmarkEnd w:id="490"/>
      <w:bookmarkEnd w:id="491"/>
      <w:bookmarkEnd w:id="492"/>
      <w:r>
        <w:rPr>
          <w:rFonts w:hint="eastAsia" w:ascii="宋体" w:hAnsi="宋体" w:eastAsia="宋体" w:cs="宋体"/>
          <w:sz w:val="24"/>
        </w:rPr>
        <w:t>资格条件及其他</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Start w:id="518" w:name="_Toc342913422"/>
      <w:bookmarkStart w:id="519" w:name="_Toc313008359"/>
      <w:bookmarkStart w:id="520" w:name="_Toc313888363"/>
    </w:p>
    <w:p>
      <w:pPr>
        <w:spacing w:line="400" w:lineRule="exact"/>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sz w:val="24"/>
          <w:szCs w:val="24"/>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spacing w:line="400" w:lineRule="exact"/>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询价项目名称：</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致：（采购代理机构名称）：</w:t>
      </w: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（法定代表人姓名）在（供应商名称）任（职务名称）职务，是（供应商名称）的法定代表人。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（供应商公章）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widowControl/>
        <w:spacing w:line="400" w:lineRule="exact"/>
        <w:ind w:firstLine="560" w:firstLineChars="200"/>
        <w:jc w:val="left"/>
        <w:rPr>
          <w:rFonts w:ascii="宋体" w:hAnsi="宋体" w:cs="宋体"/>
          <w:sz w:val="24"/>
          <w:szCs w:val="24"/>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询价项目名称：</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rPr>
          <w:rFonts w:ascii="宋体" w:hAnsi="宋体" w:cs="宋体"/>
          <w:sz w:val="24"/>
        </w:rPr>
      </w:pPr>
      <w:r>
        <w:rPr>
          <w:rFonts w:hint="eastAsia" w:ascii="宋体" w:hAnsi="宋体" w:cs="宋体"/>
          <w:sz w:val="24"/>
        </w:rPr>
        <w:t>致：（采购代理机构名称）：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（供应商法定代表人名称）是（供应商名称）的法定代表人，特授权（被授权人姓名及身份证代码）代表我单位全权办理上述项目的报价、签约等具体工作，并签署全部有关文件、协议及合同。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我单位对被授权人的签署负全部责任。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供应商法定代表人：</w:t>
      </w:r>
    </w:p>
    <w:p>
      <w:pPr>
        <w:tabs>
          <w:tab w:val="left" w:pos="6300"/>
        </w:tabs>
        <w:snapToGrid w:val="0"/>
        <w:spacing w:line="500" w:lineRule="exact"/>
        <w:ind w:firstLine="570"/>
        <w:rPr>
          <w:rFonts w:ascii="宋体" w:hAnsi="宋体" w:cs="宋体"/>
          <w:sz w:val="24"/>
        </w:rPr>
      </w:pPr>
      <w:r>
        <w:rPr>
          <w:rFonts w:hint="eastAsia" w:ascii="宋体" w:hAnsi="宋体" w:cs="宋体"/>
          <w:sz w:val="24"/>
        </w:rPr>
        <w:t>（签署或盖章）                                （签署或盖章）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1.若为法定代表人办理并签署响应文件的，不提供此文件。</w:t>
      </w:r>
    </w:p>
    <w:p>
      <w:pPr>
        <w:tabs>
          <w:tab w:val="left" w:pos="6300"/>
        </w:tabs>
        <w:snapToGrid w:val="0"/>
        <w:spacing w:line="400" w:lineRule="exact"/>
        <w:ind w:firstLine="573"/>
        <w:rPr>
          <w:rFonts w:ascii="宋体" w:hAnsi="宋体" w:cs="宋体"/>
          <w:sz w:val="24"/>
        </w:rPr>
      </w:pPr>
      <w:r>
        <w:rPr>
          <w:rFonts w:hint="eastAsia" w:ascii="宋体" w:hAnsi="宋体" w:cs="宋体"/>
          <w:sz w:val="24"/>
        </w:rPr>
        <w:t>2.若为联合体参与的，法定代表人授权委托书由联合体主办方</w:t>
      </w:r>
      <w:r>
        <w:rPr>
          <w:rFonts w:hint="eastAsia" w:ascii="宋体" w:hAnsi="宋体" w:cs="宋体"/>
          <w:kern w:val="0"/>
          <w:sz w:val="24"/>
          <w:szCs w:val="24"/>
        </w:rPr>
        <w:t>（主体）</w:t>
      </w:r>
      <w:r>
        <w:rPr>
          <w:rFonts w:hint="eastAsia" w:ascii="宋体" w:hAnsi="宋体" w:cs="宋体"/>
          <w:sz w:val="24"/>
        </w:rPr>
        <w:t>出具。</w:t>
      </w:r>
    </w:p>
    <w:p>
      <w:pPr>
        <w:widowControl/>
        <w:spacing w:line="400" w:lineRule="exact"/>
        <w:ind w:firstLine="560" w:firstLineChars="200"/>
        <w:jc w:val="left"/>
        <w:rPr>
          <w:rFonts w:ascii="宋体" w:hAnsi="宋体" w:cs="宋体"/>
          <w:sz w:val="24"/>
          <w:szCs w:val="24"/>
        </w:rPr>
      </w:pPr>
      <w:r>
        <w:rPr>
          <w:rFonts w:hint="eastAsia" w:ascii="宋体" w:hAnsi="宋体" w:cs="宋体"/>
        </w:rPr>
        <w:br w:type="column"/>
      </w:r>
      <w:r>
        <w:rPr>
          <w:rFonts w:hint="eastAsia" w:ascii="宋体" w:hAnsi="宋体" w:cs="宋体"/>
          <w:sz w:val="24"/>
          <w:szCs w:val="24"/>
        </w:rPr>
        <w:t>（四）基本资格条件承诺函（格式）</w:t>
      </w:r>
    </w:p>
    <w:p>
      <w:pPr>
        <w:tabs>
          <w:tab w:val="left" w:pos="6300"/>
        </w:tabs>
        <w:snapToGrid w:val="0"/>
        <w:spacing w:line="500" w:lineRule="exact"/>
        <w:ind w:firstLine="643" w:firstLineChars="200"/>
        <w:jc w:val="center"/>
        <w:rPr>
          <w:rFonts w:ascii="宋体" w:hAnsi="宋体" w:cs="宋体"/>
          <w:b/>
          <w:bCs/>
          <w:sz w:val="32"/>
          <w:szCs w:val="32"/>
        </w:rPr>
      </w:pPr>
      <w:r>
        <w:rPr>
          <w:rFonts w:hint="eastAsia" w:ascii="宋体" w:hAnsi="宋体" w:cs="宋体"/>
          <w:b/>
          <w:bCs/>
          <w:sz w:val="32"/>
          <w:szCs w:val="32"/>
        </w:rPr>
        <w:t>基本资格条件承诺函</w:t>
      </w:r>
    </w:p>
    <w:p>
      <w:pPr>
        <w:tabs>
          <w:tab w:val="left" w:pos="6300"/>
        </w:tabs>
        <w:snapToGrid w:val="0"/>
        <w:spacing w:line="530" w:lineRule="exact"/>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致（采购代理机构名称）：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（供应商名称）郑重承诺：</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1.我方具有良好的商业信誉和健全的财务会计制度，具有履行合同所必需的设备和专业技术能力，具</w:t>
      </w:r>
      <w:r>
        <w:rPr>
          <w:rFonts w:hint="eastAsia" w:ascii="宋体" w:hAnsi="宋体" w:cs="宋体"/>
          <w:sz w:val="24"/>
          <w:lang w:val="zh-CN"/>
        </w:rPr>
        <w:t>有依法缴纳税收和社会保障金的良好记录</w:t>
      </w:r>
      <w:r>
        <w:rPr>
          <w:rFonts w:hint="eastAsia" w:ascii="宋体" w:hAnsi="宋体" w:cs="宋体"/>
          <w:sz w:val="24"/>
        </w:rPr>
        <w:t>，参加本项目采购活动前三年内无重大违法活动记录。</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我方对以上承诺负全部法律责任。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特此承诺。</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jc w:val="right"/>
        <w:rPr>
          <w:rFonts w:ascii="宋体" w:hAnsi="宋体" w:cs="宋体"/>
          <w:sz w:val="24"/>
        </w:rPr>
      </w:pPr>
      <w:r>
        <w:rPr>
          <w:rFonts w:hint="eastAsia" w:ascii="宋体" w:hAnsi="宋体" w:cs="宋体"/>
          <w:sz w:val="24"/>
        </w:rPr>
        <w:t>（供应商公章）</w:t>
      </w:r>
    </w:p>
    <w:p>
      <w:pPr>
        <w:widowControl/>
        <w:spacing w:line="400" w:lineRule="exact"/>
        <w:ind w:firstLine="7920" w:firstLineChars="3300"/>
        <w:jc w:val="left"/>
        <w:rPr>
          <w:rFonts w:ascii="宋体" w:hAnsi="宋体" w:cs="宋体"/>
          <w:sz w:val="24"/>
          <w:szCs w:val="24"/>
        </w:rPr>
      </w:pPr>
      <w:r>
        <w:rPr>
          <w:rFonts w:hint="eastAsia" w:ascii="宋体" w:hAnsi="宋体" w:cs="宋体"/>
          <w:sz w:val="24"/>
        </w:rPr>
        <w:t>年   月   日</w:t>
      </w:r>
    </w:p>
    <w:p>
      <w:pPr>
        <w:widowControl/>
        <w:spacing w:line="400" w:lineRule="exact"/>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（五）特定资格条件证书或证明文件</w:t>
      </w:r>
    </w:p>
    <w:p>
      <w:pPr>
        <w:widowControl/>
        <w:spacing w:line="400" w:lineRule="exact"/>
        <w:ind w:firstLine="480" w:firstLineChars="200"/>
        <w:jc w:val="left"/>
        <w:rPr>
          <w:rFonts w:ascii="宋体" w:hAnsi="宋体" w:cs="宋体"/>
          <w:sz w:val="24"/>
          <w:szCs w:val="24"/>
        </w:rPr>
      </w:pPr>
    </w:p>
    <w:p>
      <w:pPr>
        <w:pStyle w:val="5"/>
        <w:adjustRightInd w:val="0"/>
        <w:snapToGrid w:val="0"/>
        <w:spacing w:before="0" w:after="0" w:line="400" w:lineRule="exact"/>
        <w:ind w:firstLine="482" w:firstLineChars="200"/>
        <w:rPr>
          <w:rFonts w:ascii="宋体" w:hAnsi="宋体" w:eastAsia="宋体" w:cs="宋体"/>
          <w:sz w:val="24"/>
        </w:rPr>
      </w:pPr>
      <w:r>
        <w:rPr>
          <w:rFonts w:hint="eastAsia" w:ascii="宋体" w:hAnsi="宋体" w:eastAsia="宋体" w:cs="宋体"/>
          <w:sz w:val="24"/>
          <w:szCs w:val="24"/>
        </w:rPr>
        <w:br w:type="page"/>
      </w:r>
      <w:bookmarkStart w:id="521" w:name="_Toc2080"/>
      <w:bookmarkStart w:id="522" w:name="_Toc25060"/>
      <w:bookmarkStart w:id="523" w:name="_Toc18203"/>
      <w:bookmarkStart w:id="524" w:name="_Toc8906"/>
      <w:bookmarkStart w:id="525" w:name="_Toc6914"/>
      <w:bookmarkStart w:id="526" w:name="_Toc13235"/>
      <w:bookmarkStart w:id="527" w:name="_Toc65660383"/>
      <w:bookmarkStart w:id="528" w:name="_Toc10166"/>
      <w:bookmarkStart w:id="529" w:name="_Toc8586"/>
      <w:bookmarkStart w:id="530" w:name="_Toc14756"/>
      <w:bookmarkStart w:id="531" w:name="_Toc116294871"/>
      <w:bookmarkStart w:id="532" w:name="_Toc17010"/>
      <w:bookmarkStart w:id="533" w:name="_Toc25289"/>
      <w:bookmarkStart w:id="534" w:name="_Toc15815"/>
      <w:bookmarkStart w:id="535" w:name="_Toc10903"/>
      <w:r>
        <w:rPr>
          <w:rFonts w:hint="eastAsia" w:ascii="宋体" w:hAnsi="宋体" w:eastAsia="宋体" w:cs="宋体"/>
          <w:sz w:val="24"/>
        </w:rPr>
        <w:t>五、</w:t>
      </w:r>
      <w:bookmarkEnd w:id="518"/>
      <w:bookmarkEnd w:id="519"/>
      <w:bookmarkEnd w:id="520"/>
      <w:r>
        <w:rPr>
          <w:rFonts w:hint="eastAsia" w:ascii="宋体" w:hAnsi="宋体" w:eastAsia="宋体" w:cs="宋体"/>
          <w:sz w:val="24"/>
        </w:rPr>
        <w:t>其他资料</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widowControl/>
        <w:spacing w:line="400" w:lineRule="exact"/>
        <w:ind w:firstLine="480" w:firstLineChars="200"/>
        <w:jc w:val="left"/>
        <w:rPr>
          <w:rFonts w:ascii="宋体" w:hAnsi="宋体" w:cs="宋体"/>
          <w:sz w:val="24"/>
          <w:szCs w:val="24"/>
        </w:rPr>
      </w:pPr>
      <w:r>
        <w:rPr>
          <w:rFonts w:hint="eastAsia" w:ascii="宋体" w:hAnsi="宋体" w:cs="宋体"/>
          <w:sz w:val="24"/>
          <w:szCs w:val="24"/>
        </w:rPr>
        <w:t>（一）中小企业声明函、监狱企业证明文件、残疾人福利性单位声明函</w:t>
      </w:r>
    </w:p>
    <w:p>
      <w:pPr>
        <w:tabs>
          <w:tab w:val="left" w:pos="6300"/>
        </w:tabs>
        <w:snapToGrid w:val="0"/>
        <w:spacing w:line="500" w:lineRule="exact"/>
        <w:jc w:val="center"/>
        <w:rPr>
          <w:rFonts w:ascii="宋体" w:hAnsi="宋体" w:cs="宋体"/>
        </w:rPr>
      </w:pPr>
      <w:r>
        <w:rPr>
          <w:rFonts w:hint="eastAsia" w:ascii="宋体" w:hAnsi="宋体" w:cs="宋体"/>
        </w:rPr>
        <w:t>中小企业声明函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本公司（联合体）郑重声明，根据《政府采购促进中小企业发展管理办法》（</w:t>
      </w:r>
      <w:r>
        <w:rPr>
          <w:rFonts w:hint="eastAsia" w:ascii="宋体" w:hAnsi="宋体" w:cs="宋体"/>
          <w:sz w:val="24"/>
          <w:szCs w:val="24"/>
        </w:rPr>
        <w:t>财库〔2020〕46号</w:t>
      </w:r>
      <w:r>
        <w:rPr>
          <w:rFonts w:hint="eastAsia" w:ascii="宋体" w:hAnsi="宋体" w:cs="宋体"/>
          <w:sz w:val="24"/>
        </w:rPr>
        <w:t>）的规定，本公司（联合体）参加</w:t>
      </w:r>
      <w:r>
        <w:rPr>
          <w:rFonts w:hint="eastAsia" w:ascii="宋体" w:hAnsi="宋体" w:cs="宋体"/>
          <w:i/>
          <w:sz w:val="24"/>
          <w:u w:val="single"/>
        </w:rPr>
        <w:t>（单位名称）</w:t>
      </w:r>
      <w:r>
        <w:rPr>
          <w:rFonts w:hint="eastAsia" w:ascii="宋体" w:hAnsi="宋体" w:cs="宋体"/>
          <w:sz w:val="24"/>
        </w:rPr>
        <w:t>的</w:t>
      </w:r>
      <w:r>
        <w:rPr>
          <w:rFonts w:hint="eastAsia" w:ascii="宋体" w:hAnsi="宋体" w:cs="宋体"/>
          <w:i/>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i/>
          <w:sz w:val="24"/>
          <w:u w:val="single"/>
        </w:rPr>
        <w:t>（标的名称）</w:t>
      </w:r>
      <w:r>
        <w:rPr>
          <w:rFonts w:hint="eastAsia" w:ascii="宋体" w:hAnsi="宋体" w:cs="宋体"/>
          <w:sz w:val="24"/>
        </w:rPr>
        <w:t>，属于</w:t>
      </w:r>
      <w:r>
        <w:rPr>
          <w:rFonts w:hint="eastAsia" w:ascii="宋体" w:hAnsi="宋体" w:cs="宋体"/>
          <w:i/>
          <w:sz w:val="24"/>
          <w:u w:val="single"/>
        </w:rPr>
        <w:t>（采购文件中明确的所属行业）行业</w:t>
      </w:r>
      <w:r>
        <w:rPr>
          <w:rFonts w:hint="eastAsia" w:ascii="宋体" w:hAnsi="宋体" w:cs="宋体"/>
          <w:sz w:val="24"/>
        </w:rPr>
        <w:t>；制造商为</w:t>
      </w:r>
      <w:r>
        <w:rPr>
          <w:rFonts w:hint="eastAsia" w:ascii="宋体" w:hAnsi="宋体" w:cs="宋体"/>
          <w:i/>
          <w:sz w:val="24"/>
          <w:u w:val="single"/>
        </w:rPr>
        <w:t>（企业名称）</w:t>
      </w:r>
      <w:r>
        <w:rPr>
          <w:rFonts w:hint="eastAsia" w:ascii="宋体" w:hAnsi="宋体" w:cs="宋体"/>
          <w:sz w:val="24"/>
        </w:rPr>
        <w:t>，从业人员人，营业收入为万元，资产总额为万元，属于</w:t>
      </w:r>
      <w:r>
        <w:rPr>
          <w:rFonts w:hint="eastAsia" w:ascii="宋体" w:hAnsi="宋体" w:cs="宋体"/>
          <w:i/>
          <w:sz w:val="24"/>
          <w:u w:val="single"/>
        </w:rPr>
        <w:t>（中型企业、小型企业、微型企业）</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i/>
          <w:sz w:val="24"/>
          <w:u w:val="single"/>
        </w:rPr>
        <w:t>（标的名称）</w:t>
      </w:r>
      <w:r>
        <w:rPr>
          <w:rFonts w:hint="eastAsia" w:ascii="宋体" w:hAnsi="宋体" w:cs="宋体"/>
          <w:sz w:val="24"/>
        </w:rPr>
        <w:t>，属于</w:t>
      </w:r>
      <w:r>
        <w:rPr>
          <w:rFonts w:hint="eastAsia" w:ascii="宋体" w:hAnsi="宋体" w:cs="宋体"/>
          <w:i/>
          <w:sz w:val="24"/>
          <w:u w:val="single"/>
        </w:rPr>
        <w:t>（采购文件中明确的所属行业）行业</w:t>
      </w:r>
      <w:r>
        <w:rPr>
          <w:rFonts w:hint="eastAsia" w:ascii="宋体" w:hAnsi="宋体" w:cs="宋体"/>
          <w:sz w:val="24"/>
        </w:rPr>
        <w:t>；制造商为</w:t>
      </w:r>
      <w:r>
        <w:rPr>
          <w:rFonts w:hint="eastAsia" w:ascii="宋体" w:hAnsi="宋体" w:cs="宋体"/>
          <w:i/>
          <w:sz w:val="24"/>
          <w:u w:val="single"/>
        </w:rPr>
        <w:t>（企业名称）</w:t>
      </w:r>
      <w:r>
        <w:rPr>
          <w:rFonts w:hint="eastAsia" w:ascii="宋体" w:hAnsi="宋体" w:cs="宋体"/>
          <w:sz w:val="24"/>
        </w:rPr>
        <w:t>，从业人员人，营业收入为万元，资产总额为万元，属于</w:t>
      </w:r>
      <w:r>
        <w:rPr>
          <w:rFonts w:hint="eastAsia" w:ascii="宋体" w:hAnsi="宋体" w:cs="宋体"/>
          <w:i/>
          <w:sz w:val="24"/>
          <w:u w:val="single"/>
        </w:rPr>
        <w:t>（中型企业、小型企业、微型企业）</w:t>
      </w:r>
      <w:r>
        <w:rPr>
          <w:rFonts w:hint="eastAsia" w:ascii="宋体" w:hAnsi="宋体" w:cs="宋体"/>
          <w:sz w:val="24"/>
        </w:rPr>
        <w:t>；</w:t>
      </w:r>
    </w:p>
    <w:p>
      <w:pPr>
        <w:tabs>
          <w:tab w:val="left" w:pos="6300"/>
        </w:tabs>
        <w:snapToGrid w:val="0"/>
        <w:spacing w:line="500" w:lineRule="exact"/>
        <w:ind w:right="782" w:firstLine="480" w:firstLineChars="200"/>
        <w:rPr>
          <w:rFonts w:ascii="宋体" w:hAnsi="宋体" w:cs="宋体"/>
          <w:sz w:val="24"/>
        </w:rPr>
      </w:pP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tabs>
          <w:tab w:val="left" w:pos="6300"/>
        </w:tabs>
        <w:snapToGrid w:val="0"/>
        <w:spacing w:line="500" w:lineRule="exact"/>
        <w:ind w:firstLine="6120" w:firstLineChars="2550"/>
        <w:rPr>
          <w:rFonts w:ascii="宋体" w:hAnsi="宋体" w:cs="宋体"/>
          <w:sz w:val="24"/>
        </w:rPr>
      </w:pPr>
      <w:r>
        <w:rPr>
          <w:rFonts w:hint="eastAsia" w:ascii="宋体" w:hAnsi="宋体" w:cs="宋体"/>
          <w:sz w:val="24"/>
        </w:rPr>
        <w:t xml:space="preserve">企业名称（盖章）： </w:t>
      </w:r>
    </w:p>
    <w:p>
      <w:pPr>
        <w:tabs>
          <w:tab w:val="left" w:pos="6300"/>
        </w:tabs>
        <w:snapToGrid w:val="0"/>
        <w:spacing w:line="500" w:lineRule="exact"/>
        <w:ind w:right="784" w:firstLine="6120" w:firstLineChars="2550"/>
        <w:rPr>
          <w:rFonts w:ascii="宋体" w:hAnsi="宋体" w:cs="宋体"/>
          <w:sz w:val="24"/>
        </w:rPr>
      </w:pPr>
      <w:r>
        <w:rPr>
          <w:rFonts w:hint="eastAsia" w:ascii="宋体" w:hAnsi="宋体" w:cs="宋体"/>
          <w:sz w:val="24"/>
        </w:rPr>
        <w:t>日期：</w:t>
      </w:r>
    </w:p>
    <w:p>
      <w:pPr>
        <w:tabs>
          <w:tab w:val="left" w:pos="6300"/>
        </w:tabs>
        <w:snapToGrid w:val="0"/>
        <w:spacing w:line="500" w:lineRule="exact"/>
        <w:ind w:right="784" w:firstLine="6120" w:firstLineChars="2550"/>
        <w:rPr>
          <w:rFonts w:ascii="宋体" w:hAnsi="宋体" w:cs="宋体"/>
          <w:sz w:val="24"/>
        </w:rPr>
      </w:pPr>
    </w:p>
    <w:p>
      <w:pPr>
        <w:tabs>
          <w:tab w:val="left" w:pos="6300"/>
        </w:tabs>
        <w:snapToGrid w:val="0"/>
        <w:rPr>
          <w:rFonts w:ascii="宋体" w:hAnsi="宋体" w:cs="宋体"/>
          <w:kern w:val="0"/>
          <w:sz w:val="21"/>
          <w:szCs w:val="21"/>
        </w:rPr>
      </w:pPr>
      <w:r>
        <w:rPr>
          <w:rFonts w:hint="eastAsia" w:ascii="宋体" w:hAnsi="宋体" w:cs="宋体"/>
          <w:kern w:val="0"/>
          <w:sz w:val="21"/>
          <w:szCs w:val="21"/>
        </w:rPr>
        <w:t>填写时应注意以下事项：</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宋体" w:hAnsi="宋体" w:cs="宋体"/>
          <w:b/>
          <w:kern w:val="0"/>
          <w:sz w:val="21"/>
          <w:szCs w:val="21"/>
        </w:rPr>
      </w:pPr>
      <w:r>
        <w:rPr>
          <w:rFonts w:hint="eastAsia" w:ascii="宋体" w:hAnsi="宋体" w:cs="宋体"/>
          <w:b/>
          <w:kern w:val="0"/>
          <w:sz w:val="21"/>
          <w:szCs w:val="21"/>
        </w:rPr>
        <w:t>4.本声明函“企业名称（盖章）”处为供应商盖章。</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注：各行业划型标准：</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宋体" w:hAnsi="宋体" w:cs="宋体"/>
          <w:kern w:val="0"/>
          <w:sz w:val="21"/>
          <w:szCs w:val="21"/>
        </w:rPr>
      </w:pPr>
      <w:r>
        <w:rPr>
          <w:rFonts w:hint="eastAsia" w:ascii="宋体" w:hAnsi="宋体"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ascii="宋体" w:hAnsi="宋体" w:cs="宋体"/>
        </w:rPr>
      </w:pPr>
      <w:r>
        <w:rPr>
          <w:rFonts w:hint="eastAsia" w:ascii="宋体" w:hAnsi="宋体" w:cs="宋体"/>
        </w:rPr>
        <w:br w:type="page"/>
      </w:r>
      <w:r>
        <w:rPr>
          <w:rFonts w:hint="eastAsia" w:ascii="宋体" w:hAnsi="宋体" w:cs="宋体"/>
        </w:rPr>
        <w:t>监狱企业证明文件</w:t>
      </w:r>
    </w:p>
    <w:p>
      <w:pPr>
        <w:tabs>
          <w:tab w:val="left" w:pos="6300"/>
        </w:tabs>
        <w:snapToGrid w:val="0"/>
        <w:spacing w:line="400" w:lineRule="exact"/>
        <w:ind w:firstLine="480" w:firstLineChars="200"/>
        <w:jc w:val="left"/>
        <w:rPr>
          <w:rFonts w:ascii="宋体" w:hAnsi="宋体" w:cs="宋体"/>
          <w:sz w:val="24"/>
          <w:szCs w:val="24"/>
        </w:rPr>
      </w:pPr>
      <w:r>
        <w:rPr>
          <w:rFonts w:hint="eastAsia" w:ascii="宋体" w:hAnsi="宋体" w:cs="宋体"/>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ascii="宋体" w:hAnsi="宋体" w:cs="宋体"/>
        </w:rPr>
      </w:pPr>
      <w:r>
        <w:rPr>
          <w:rFonts w:hint="eastAsia" w:ascii="宋体" w:hAnsi="宋体" w:cs="宋体"/>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tabs>
          <w:tab w:val="left" w:pos="6300"/>
        </w:tabs>
        <w:snapToGrid w:val="0"/>
        <w:spacing w:line="500" w:lineRule="exact"/>
        <w:ind w:firstLine="570"/>
        <w:jc w:val="left"/>
        <w:rPr>
          <w:rFonts w:ascii="宋体" w:hAnsi="宋体" w:cs="宋体"/>
          <w:sz w:val="24"/>
        </w:rPr>
      </w:pPr>
      <w:r>
        <w:rPr>
          <w:rFonts w:hint="eastAsia" w:ascii="宋体" w:hAnsi="宋体" w:cs="宋体"/>
          <w:sz w:val="24"/>
        </w:rPr>
        <w:t xml:space="preserve">                                                  日  期：</w:t>
      </w: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sz w:val="24"/>
        </w:rPr>
      </w:pPr>
    </w:p>
    <w:p>
      <w:pPr>
        <w:tabs>
          <w:tab w:val="left" w:pos="6300"/>
        </w:tabs>
        <w:snapToGrid w:val="0"/>
        <w:spacing w:line="500" w:lineRule="exact"/>
        <w:ind w:firstLine="570"/>
        <w:jc w:val="left"/>
        <w:rPr>
          <w:rFonts w:ascii="宋体" w:hAnsi="宋体" w:cs="宋体"/>
        </w:rPr>
      </w:pPr>
      <w:r>
        <w:rPr>
          <w:rFonts w:hint="eastAsia" w:ascii="宋体" w:hAnsi="宋体" w:cs="宋体"/>
          <w:kern w:val="0"/>
          <w:sz w:val="24"/>
        </w:rPr>
        <w:t>若成交供应商为残疾人福利性单位的，将在结果公告时公告其《残疾人福利性单位声明函》。</w:t>
      </w:r>
    </w:p>
    <w:p>
      <w:pPr>
        <w:widowControl/>
        <w:spacing w:line="400" w:lineRule="exact"/>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（二）其他与项目有关的资料（自附）</w:t>
      </w:r>
    </w:p>
    <w:p>
      <w:pPr>
        <w:spacing w:line="360" w:lineRule="auto"/>
        <w:ind w:firstLine="480" w:firstLineChars="200"/>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560" w:firstLineChars="200"/>
        <w:jc w:val="center"/>
        <w:rPr>
          <w:rFonts w:ascii="宋体" w:hAnsi="宋体" w:cs="宋体"/>
        </w:rPr>
      </w:pPr>
      <w:r>
        <w:rPr>
          <w:rFonts w:hint="eastAsia" w:ascii="宋体" w:hAnsi="宋体" w:cs="宋体"/>
        </w:rPr>
        <w:t>（结束）</w:t>
      </w:r>
    </w:p>
    <w:p>
      <w:pPr>
        <w:pStyle w:val="56"/>
        <w:spacing w:after="0"/>
        <w:ind w:left="0" w:leftChars="0" w:firstLine="0" w:firstLineChars="0"/>
        <w:rPr>
          <w:rFonts w:ascii="宋体" w:hAnsi="宋体" w:cs="宋体"/>
        </w:rPr>
      </w:pPr>
    </w:p>
    <w:sectPr>
      <w:footerReference r:id="rId12" w:type="default"/>
      <w:pgSz w:w="11906" w:h="16838"/>
      <w:pgMar w:top="1134" w:right="1191" w:bottom="1134" w:left="1304"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- 1 -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3075" o:spid="_x0000_s3075" o:spt="202" type="#_x0000_t202" style="position:absolute;left:0pt;margin-top:0pt;height:10.35pt;width:19.5pt;mso-position-horizontal:center;mso-position-horizontal-relative:margin;mso-wrap-style:none;z-index:251661312;mso-width-relative:page;mso-height-relative:page;" filled="f" stroked="f" coordsize="21600,21600"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hZyzZDQCAABhBAAADgAAAAAAAAABACAAAAAgAQAAZHJzL2Uyb0RvYy54bWxQ&#10;SwUGAAAAAAYABgBZAQAAxg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- 6 -</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sz w:val="21"/>
        <w:szCs w:val="21"/>
      </w:rPr>
    </w:pPr>
    <w:r>
      <w:rPr>
        <w:sz w:val="21"/>
      </w:rPr>
      <w:pict>
        <v:shape id="_x0000_s3074" o:spid="_x0000_s307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36"/>
                  <w:jc w:val="center"/>
                </w:pPr>
                <w:r>
                  <w:rPr>
                    <w:rStyle w:val="61"/>
                    <w:rFonts w:ascii="宋体" w:hAnsi="宋体" w:cs="宋体"/>
                    <w:sz w:val="21"/>
                    <w:szCs w:val="21"/>
                  </w:rPr>
                  <w:fldChar w:fldCharType="begin"/>
                </w:r>
                <w:r>
                  <w:rPr>
                    <w:rStyle w:val="61"/>
                    <w:rFonts w:ascii="宋体" w:hAnsi="宋体" w:cs="宋体"/>
                    <w:sz w:val="21"/>
                    <w:szCs w:val="21"/>
                  </w:rPr>
                  <w:instrText xml:space="preserve"> PAGE </w:instrText>
                </w:r>
                <w:r>
                  <w:rPr>
                    <w:rStyle w:val="61"/>
                    <w:rFonts w:ascii="宋体" w:hAnsi="宋体" w:cs="宋体"/>
                    <w:sz w:val="21"/>
                    <w:szCs w:val="21"/>
                  </w:rPr>
                  <w:fldChar w:fldCharType="separate"/>
                </w:r>
                <w:r>
                  <w:rPr>
                    <w:rStyle w:val="61"/>
                    <w:rFonts w:ascii="宋体" w:hAnsi="宋体" w:cs="宋体"/>
                    <w:sz w:val="21"/>
                    <w:szCs w:val="21"/>
                  </w:rPr>
                  <w:t>- 7 -</w:t>
                </w:r>
                <w:r>
                  <w:rPr>
                    <w:rStyle w:val="61"/>
                    <w:rFonts w:ascii="宋体" w:hAnsi="宋体" w:cs="宋体"/>
                    <w:sz w:val="21"/>
                    <w:szCs w:val="21"/>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sz w:val="21"/>
        <w:szCs w:val="21"/>
      </w:rPr>
    </w:pPr>
    <w:r>
      <w:rPr>
        <w:sz w:val="21"/>
      </w:rPr>
      <w:pict>
        <v:shape id="_x0000_s3073" o:spid="_x0000_s3073"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iFfc0QAAAAMBAAAPAAAAAAAAAAEAIAAAACIAAABkcnMvZG93bnJldi54bWxQSwEC&#10;FAAUAAAACACHTuJAQJ4mXjQCAABhBAAADgAAAAAAAAABACAAAAAgAQAAZHJzL2Uyb0RvYy54bWxQ&#10;SwUGAAAAAAYABgBZAQAAxg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- 37 -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Theme="majorEastAsia" w:hAnsiTheme="majorEastAsia" w:eastAsiaTheme="majorEastAsia"/>
        <w:sz w:val="24"/>
        <w:szCs w:val="24"/>
      </w:rPr>
    </w:pPr>
    <w:r>
      <w:rPr>
        <w:rFonts w:hint="eastAsia" w:asciiTheme="majorEastAsia" w:hAnsiTheme="majorEastAsia" w:eastAsiaTheme="majorEastAsia"/>
        <w:sz w:val="24"/>
        <w:szCs w:val="24"/>
      </w:rPr>
      <w:t>重庆优凯项目管理有限公司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72CC4"/>
    <w:multiLevelType w:val="multilevel"/>
    <w:tmpl w:val="13E72CC4"/>
    <w:lvl w:ilvl="0" w:tentative="0">
      <w:start w:val="1"/>
      <w:numFmt w:val="japaneseCounting"/>
      <w:lvlText w:val="%1、"/>
      <w:lvlJc w:val="left"/>
      <w:pPr>
        <w:ind w:left="128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E45BDF"/>
    <w:multiLevelType w:val="singleLevel"/>
    <w:tmpl w:val="76E45BD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HorizontalSpacing w:val="140"/>
  <w:drawingGridVerticalSpacing w:val="-794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U4M2QxYjAwMjEzODAyMjdlNDIzOTI3ZDJkODRjNDEifQ=="/>
  </w:docVars>
  <w:rsids>
    <w:rsidRoot w:val="005E0719"/>
    <w:rsid w:val="00000319"/>
    <w:rsid w:val="00000368"/>
    <w:rsid w:val="00004688"/>
    <w:rsid w:val="00014D07"/>
    <w:rsid w:val="00022A7B"/>
    <w:rsid w:val="0002327E"/>
    <w:rsid w:val="00023BC5"/>
    <w:rsid w:val="00024FE2"/>
    <w:rsid w:val="000250E5"/>
    <w:rsid w:val="000336C1"/>
    <w:rsid w:val="00033BFE"/>
    <w:rsid w:val="00036FDE"/>
    <w:rsid w:val="00045C12"/>
    <w:rsid w:val="0004785A"/>
    <w:rsid w:val="000501B8"/>
    <w:rsid w:val="00053B69"/>
    <w:rsid w:val="00057183"/>
    <w:rsid w:val="0005797C"/>
    <w:rsid w:val="000602B3"/>
    <w:rsid w:val="000721B2"/>
    <w:rsid w:val="00072D3E"/>
    <w:rsid w:val="00080CAF"/>
    <w:rsid w:val="00081091"/>
    <w:rsid w:val="0008426E"/>
    <w:rsid w:val="000869AB"/>
    <w:rsid w:val="00090BB5"/>
    <w:rsid w:val="00097894"/>
    <w:rsid w:val="000A1BDD"/>
    <w:rsid w:val="000A2A37"/>
    <w:rsid w:val="000A323D"/>
    <w:rsid w:val="000A3C41"/>
    <w:rsid w:val="000A44A7"/>
    <w:rsid w:val="000B1FA1"/>
    <w:rsid w:val="000B527B"/>
    <w:rsid w:val="000C4540"/>
    <w:rsid w:val="000D46C9"/>
    <w:rsid w:val="000D76B2"/>
    <w:rsid w:val="000E406C"/>
    <w:rsid w:val="000F06E3"/>
    <w:rsid w:val="000F2137"/>
    <w:rsid w:val="000F5E11"/>
    <w:rsid w:val="00101A85"/>
    <w:rsid w:val="0010549C"/>
    <w:rsid w:val="00105BA1"/>
    <w:rsid w:val="00111A79"/>
    <w:rsid w:val="00114431"/>
    <w:rsid w:val="00123B0F"/>
    <w:rsid w:val="001242E3"/>
    <w:rsid w:val="00126333"/>
    <w:rsid w:val="00126879"/>
    <w:rsid w:val="00134C69"/>
    <w:rsid w:val="00137576"/>
    <w:rsid w:val="00141C4A"/>
    <w:rsid w:val="0014439D"/>
    <w:rsid w:val="0014640B"/>
    <w:rsid w:val="00150CA5"/>
    <w:rsid w:val="001521A8"/>
    <w:rsid w:val="001562E2"/>
    <w:rsid w:val="00164096"/>
    <w:rsid w:val="00171C18"/>
    <w:rsid w:val="001749C0"/>
    <w:rsid w:val="00174BFA"/>
    <w:rsid w:val="001753DB"/>
    <w:rsid w:val="001766C4"/>
    <w:rsid w:val="00181880"/>
    <w:rsid w:val="00182BE2"/>
    <w:rsid w:val="001837DA"/>
    <w:rsid w:val="001854AF"/>
    <w:rsid w:val="00185F6E"/>
    <w:rsid w:val="00193AA5"/>
    <w:rsid w:val="001A0253"/>
    <w:rsid w:val="001B2F46"/>
    <w:rsid w:val="001C60F9"/>
    <w:rsid w:val="001D3500"/>
    <w:rsid w:val="001D4DA4"/>
    <w:rsid w:val="001D59B3"/>
    <w:rsid w:val="001E16A4"/>
    <w:rsid w:val="001E16EC"/>
    <w:rsid w:val="001E53D4"/>
    <w:rsid w:val="001F056A"/>
    <w:rsid w:val="001F4F96"/>
    <w:rsid w:val="00205B31"/>
    <w:rsid w:val="002160E8"/>
    <w:rsid w:val="0022095B"/>
    <w:rsid w:val="00220D27"/>
    <w:rsid w:val="0022195A"/>
    <w:rsid w:val="00222CA8"/>
    <w:rsid w:val="00232184"/>
    <w:rsid w:val="00243026"/>
    <w:rsid w:val="0024623F"/>
    <w:rsid w:val="00247138"/>
    <w:rsid w:val="002521A3"/>
    <w:rsid w:val="00254F6C"/>
    <w:rsid w:val="0026410D"/>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3796D"/>
    <w:rsid w:val="00342ADC"/>
    <w:rsid w:val="00347B4F"/>
    <w:rsid w:val="00354E5A"/>
    <w:rsid w:val="00365434"/>
    <w:rsid w:val="00374994"/>
    <w:rsid w:val="00374CCE"/>
    <w:rsid w:val="00382A72"/>
    <w:rsid w:val="003A30E3"/>
    <w:rsid w:val="003A5E69"/>
    <w:rsid w:val="003B6F14"/>
    <w:rsid w:val="003C20AF"/>
    <w:rsid w:val="003C7261"/>
    <w:rsid w:val="003C7F2E"/>
    <w:rsid w:val="003D422C"/>
    <w:rsid w:val="003E0122"/>
    <w:rsid w:val="003E6BB8"/>
    <w:rsid w:val="003F298C"/>
    <w:rsid w:val="004137D4"/>
    <w:rsid w:val="00413AB1"/>
    <w:rsid w:val="0041461B"/>
    <w:rsid w:val="00417436"/>
    <w:rsid w:val="00427D28"/>
    <w:rsid w:val="004336E6"/>
    <w:rsid w:val="00437AB0"/>
    <w:rsid w:val="00444C55"/>
    <w:rsid w:val="00446102"/>
    <w:rsid w:val="00455A39"/>
    <w:rsid w:val="0045711D"/>
    <w:rsid w:val="004620AC"/>
    <w:rsid w:val="00462B10"/>
    <w:rsid w:val="004736C2"/>
    <w:rsid w:val="0048067D"/>
    <w:rsid w:val="004848AD"/>
    <w:rsid w:val="00487967"/>
    <w:rsid w:val="004917CF"/>
    <w:rsid w:val="00493B77"/>
    <w:rsid w:val="00496E0B"/>
    <w:rsid w:val="004A5138"/>
    <w:rsid w:val="004C1FE0"/>
    <w:rsid w:val="004C4511"/>
    <w:rsid w:val="004C6830"/>
    <w:rsid w:val="004D30C4"/>
    <w:rsid w:val="004D6C38"/>
    <w:rsid w:val="004D72ED"/>
    <w:rsid w:val="004E1AE2"/>
    <w:rsid w:val="004F0A72"/>
    <w:rsid w:val="004F53EE"/>
    <w:rsid w:val="004F70FA"/>
    <w:rsid w:val="00503C11"/>
    <w:rsid w:val="00504F37"/>
    <w:rsid w:val="00513BFD"/>
    <w:rsid w:val="00515557"/>
    <w:rsid w:val="00517270"/>
    <w:rsid w:val="005209E7"/>
    <w:rsid w:val="00525662"/>
    <w:rsid w:val="0052599F"/>
    <w:rsid w:val="005269A2"/>
    <w:rsid w:val="00531BD7"/>
    <w:rsid w:val="005330FB"/>
    <w:rsid w:val="0053336A"/>
    <w:rsid w:val="005365D1"/>
    <w:rsid w:val="005412B1"/>
    <w:rsid w:val="0054484F"/>
    <w:rsid w:val="00550FE8"/>
    <w:rsid w:val="0055428F"/>
    <w:rsid w:val="00560C80"/>
    <w:rsid w:val="00565584"/>
    <w:rsid w:val="00565742"/>
    <w:rsid w:val="00571C29"/>
    <w:rsid w:val="00583A89"/>
    <w:rsid w:val="005905C7"/>
    <w:rsid w:val="0059295A"/>
    <w:rsid w:val="00597DFA"/>
    <w:rsid w:val="005B211A"/>
    <w:rsid w:val="005B6ABC"/>
    <w:rsid w:val="005C22F1"/>
    <w:rsid w:val="005D0BCC"/>
    <w:rsid w:val="005D5C9F"/>
    <w:rsid w:val="005E0719"/>
    <w:rsid w:val="005E4C6D"/>
    <w:rsid w:val="005F09AD"/>
    <w:rsid w:val="005F42C6"/>
    <w:rsid w:val="005F630A"/>
    <w:rsid w:val="005F67E7"/>
    <w:rsid w:val="005F6E84"/>
    <w:rsid w:val="0060512C"/>
    <w:rsid w:val="00624D14"/>
    <w:rsid w:val="00636291"/>
    <w:rsid w:val="006369D7"/>
    <w:rsid w:val="00640143"/>
    <w:rsid w:val="006476D2"/>
    <w:rsid w:val="00647AC9"/>
    <w:rsid w:val="006549B7"/>
    <w:rsid w:val="00654FC4"/>
    <w:rsid w:val="006725C0"/>
    <w:rsid w:val="00674A8E"/>
    <w:rsid w:val="00695377"/>
    <w:rsid w:val="006B1832"/>
    <w:rsid w:val="006B2E11"/>
    <w:rsid w:val="006B4C7A"/>
    <w:rsid w:val="006B4F12"/>
    <w:rsid w:val="006C085D"/>
    <w:rsid w:val="006C7844"/>
    <w:rsid w:val="006D2DFB"/>
    <w:rsid w:val="006D43C2"/>
    <w:rsid w:val="006D78EC"/>
    <w:rsid w:val="006F6B4A"/>
    <w:rsid w:val="0071182A"/>
    <w:rsid w:val="0072695D"/>
    <w:rsid w:val="007329A0"/>
    <w:rsid w:val="007620E8"/>
    <w:rsid w:val="00764D49"/>
    <w:rsid w:val="00766A25"/>
    <w:rsid w:val="00771881"/>
    <w:rsid w:val="00777800"/>
    <w:rsid w:val="00786C96"/>
    <w:rsid w:val="0079163A"/>
    <w:rsid w:val="007945C1"/>
    <w:rsid w:val="007A5D30"/>
    <w:rsid w:val="007A68AC"/>
    <w:rsid w:val="007D0C51"/>
    <w:rsid w:val="007F1D91"/>
    <w:rsid w:val="007F263E"/>
    <w:rsid w:val="00805B96"/>
    <w:rsid w:val="00805FF5"/>
    <w:rsid w:val="008162BD"/>
    <w:rsid w:val="00816AAF"/>
    <w:rsid w:val="008208AF"/>
    <w:rsid w:val="0082139E"/>
    <w:rsid w:val="00823217"/>
    <w:rsid w:val="00824CE9"/>
    <w:rsid w:val="008302B7"/>
    <w:rsid w:val="008323CD"/>
    <w:rsid w:val="00841441"/>
    <w:rsid w:val="00844F17"/>
    <w:rsid w:val="00850B74"/>
    <w:rsid w:val="0087644E"/>
    <w:rsid w:val="008815BE"/>
    <w:rsid w:val="00892FA9"/>
    <w:rsid w:val="00893F57"/>
    <w:rsid w:val="00896A13"/>
    <w:rsid w:val="008971E3"/>
    <w:rsid w:val="008A119C"/>
    <w:rsid w:val="008A1E79"/>
    <w:rsid w:val="008A5F1A"/>
    <w:rsid w:val="008B187E"/>
    <w:rsid w:val="008C3065"/>
    <w:rsid w:val="008C4B69"/>
    <w:rsid w:val="008D017E"/>
    <w:rsid w:val="008E1521"/>
    <w:rsid w:val="008E2D7C"/>
    <w:rsid w:val="008F20BF"/>
    <w:rsid w:val="008F39FF"/>
    <w:rsid w:val="008F44F6"/>
    <w:rsid w:val="008F51DC"/>
    <w:rsid w:val="0090157F"/>
    <w:rsid w:val="0090749D"/>
    <w:rsid w:val="00907A7F"/>
    <w:rsid w:val="00907F19"/>
    <w:rsid w:val="0092296B"/>
    <w:rsid w:val="00925812"/>
    <w:rsid w:val="00927078"/>
    <w:rsid w:val="009340F7"/>
    <w:rsid w:val="0094065F"/>
    <w:rsid w:val="009416AF"/>
    <w:rsid w:val="00942B16"/>
    <w:rsid w:val="00944190"/>
    <w:rsid w:val="0094607D"/>
    <w:rsid w:val="009525B0"/>
    <w:rsid w:val="009544AA"/>
    <w:rsid w:val="00955815"/>
    <w:rsid w:val="00960F6B"/>
    <w:rsid w:val="009844EB"/>
    <w:rsid w:val="009B1BF8"/>
    <w:rsid w:val="009B74E8"/>
    <w:rsid w:val="009C0331"/>
    <w:rsid w:val="009C0F88"/>
    <w:rsid w:val="009D18FF"/>
    <w:rsid w:val="009E05C5"/>
    <w:rsid w:val="00A03F3C"/>
    <w:rsid w:val="00A11428"/>
    <w:rsid w:val="00A12E29"/>
    <w:rsid w:val="00A142CA"/>
    <w:rsid w:val="00A15E98"/>
    <w:rsid w:val="00A22DAA"/>
    <w:rsid w:val="00A23346"/>
    <w:rsid w:val="00A30E3C"/>
    <w:rsid w:val="00A31251"/>
    <w:rsid w:val="00A357EF"/>
    <w:rsid w:val="00A445D4"/>
    <w:rsid w:val="00A51D1D"/>
    <w:rsid w:val="00A574BC"/>
    <w:rsid w:val="00A61352"/>
    <w:rsid w:val="00A75E2C"/>
    <w:rsid w:val="00A77F4B"/>
    <w:rsid w:val="00A8744E"/>
    <w:rsid w:val="00AA2561"/>
    <w:rsid w:val="00AA2B88"/>
    <w:rsid w:val="00AA7DFC"/>
    <w:rsid w:val="00AC18F3"/>
    <w:rsid w:val="00AC2CE9"/>
    <w:rsid w:val="00AD4B7F"/>
    <w:rsid w:val="00AD7A96"/>
    <w:rsid w:val="00AE289B"/>
    <w:rsid w:val="00AE5A8B"/>
    <w:rsid w:val="00AE74BD"/>
    <w:rsid w:val="00AF2F02"/>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93FEB"/>
    <w:rsid w:val="00BA2FF4"/>
    <w:rsid w:val="00BA3C88"/>
    <w:rsid w:val="00BA69C0"/>
    <w:rsid w:val="00BC1A20"/>
    <w:rsid w:val="00BC2E63"/>
    <w:rsid w:val="00BC2FCD"/>
    <w:rsid w:val="00BD7BA1"/>
    <w:rsid w:val="00BE1FBC"/>
    <w:rsid w:val="00BE262C"/>
    <w:rsid w:val="00BE63A2"/>
    <w:rsid w:val="00BE6F6E"/>
    <w:rsid w:val="00BF30B4"/>
    <w:rsid w:val="00BF38D2"/>
    <w:rsid w:val="00BF4DAD"/>
    <w:rsid w:val="00BF720C"/>
    <w:rsid w:val="00C17AB6"/>
    <w:rsid w:val="00C34CBE"/>
    <w:rsid w:val="00C44836"/>
    <w:rsid w:val="00C55693"/>
    <w:rsid w:val="00C57273"/>
    <w:rsid w:val="00C623CA"/>
    <w:rsid w:val="00C757AD"/>
    <w:rsid w:val="00C80D98"/>
    <w:rsid w:val="00C9309C"/>
    <w:rsid w:val="00C939A2"/>
    <w:rsid w:val="00CA269E"/>
    <w:rsid w:val="00CA2DD8"/>
    <w:rsid w:val="00CA4729"/>
    <w:rsid w:val="00CA5F54"/>
    <w:rsid w:val="00CA7DDF"/>
    <w:rsid w:val="00CB7A74"/>
    <w:rsid w:val="00CC2D29"/>
    <w:rsid w:val="00CE00EA"/>
    <w:rsid w:val="00CE200B"/>
    <w:rsid w:val="00CE347B"/>
    <w:rsid w:val="00CE37CE"/>
    <w:rsid w:val="00CE73E1"/>
    <w:rsid w:val="00CF1E73"/>
    <w:rsid w:val="00CF695C"/>
    <w:rsid w:val="00D00272"/>
    <w:rsid w:val="00D14D53"/>
    <w:rsid w:val="00D27883"/>
    <w:rsid w:val="00D3201B"/>
    <w:rsid w:val="00D37082"/>
    <w:rsid w:val="00D373C9"/>
    <w:rsid w:val="00D3773A"/>
    <w:rsid w:val="00D37AA5"/>
    <w:rsid w:val="00D47101"/>
    <w:rsid w:val="00D61D23"/>
    <w:rsid w:val="00D74A13"/>
    <w:rsid w:val="00D76A45"/>
    <w:rsid w:val="00D777C2"/>
    <w:rsid w:val="00D84535"/>
    <w:rsid w:val="00D86984"/>
    <w:rsid w:val="00D90EFF"/>
    <w:rsid w:val="00D91850"/>
    <w:rsid w:val="00D962A5"/>
    <w:rsid w:val="00DA359C"/>
    <w:rsid w:val="00DB0F08"/>
    <w:rsid w:val="00DB3088"/>
    <w:rsid w:val="00DB5246"/>
    <w:rsid w:val="00DB5373"/>
    <w:rsid w:val="00DC2002"/>
    <w:rsid w:val="00DC366D"/>
    <w:rsid w:val="00DC3BC0"/>
    <w:rsid w:val="00DE0323"/>
    <w:rsid w:val="00DE4B32"/>
    <w:rsid w:val="00DE7D9A"/>
    <w:rsid w:val="00DF193D"/>
    <w:rsid w:val="00DF3A8D"/>
    <w:rsid w:val="00E02A1E"/>
    <w:rsid w:val="00E21AB6"/>
    <w:rsid w:val="00E3158C"/>
    <w:rsid w:val="00E34691"/>
    <w:rsid w:val="00E44C59"/>
    <w:rsid w:val="00E44EB3"/>
    <w:rsid w:val="00E500FA"/>
    <w:rsid w:val="00E51B99"/>
    <w:rsid w:val="00E60A05"/>
    <w:rsid w:val="00E646D2"/>
    <w:rsid w:val="00E7399D"/>
    <w:rsid w:val="00E90470"/>
    <w:rsid w:val="00EA2EA9"/>
    <w:rsid w:val="00EA3328"/>
    <w:rsid w:val="00EA3353"/>
    <w:rsid w:val="00EA4E89"/>
    <w:rsid w:val="00EA5EC5"/>
    <w:rsid w:val="00EC1D52"/>
    <w:rsid w:val="00EC373C"/>
    <w:rsid w:val="00ED338D"/>
    <w:rsid w:val="00EE34BE"/>
    <w:rsid w:val="00EF6C58"/>
    <w:rsid w:val="00F037C6"/>
    <w:rsid w:val="00F0541E"/>
    <w:rsid w:val="00F112E2"/>
    <w:rsid w:val="00F13204"/>
    <w:rsid w:val="00F155CB"/>
    <w:rsid w:val="00F30B3F"/>
    <w:rsid w:val="00F41E13"/>
    <w:rsid w:val="00F47405"/>
    <w:rsid w:val="00F5019D"/>
    <w:rsid w:val="00F502E7"/>
    <w:rsid w:val="00F73001"/>
    <w:rsid w:val="00F84D5B"/>
    <w:rsid w:val="00F8518C"/>
    <w:rsid w:val="00F9349C"/>
    <w:rsid w:val="00F96177"/>
    <w:rsid w:val="00F977A6"/>
    <w:rsid w:val="00FA4B57"/>
    <w:rsid w:val="00FB5BE8"/>
    <w:rsid w:val="00FC14BC"/>
    <w:rsid w:val="00FC3028"/>
    <w:rsid w:val="00FC4552"/>
    <w:rsid w:val="00FC77FC"/>
    <w:rsid w:val="00FD0E32"/>
    <w:rsid w:val="00FD13EC"/>
    <w:rsid w:val="00FE302D"/>
    <w:rsid w:val="00FE6998"/>
    <w:rsid w:val="00FF1A33"/>
    <w:rsid w:val="00FF3FFA"/>
    <w:rsid w:val="00FF525E"/>
    <w:rsid w:val="00FF7E36"/>
    <w:rsid w:val="0161624F"/>
    <w:rsid w:val="02AB523C"/>
    <w:rsid w:val="03BD5680"/>
    <w:rsid w:val="040F4421"/>
    <w:rsid w:val="04BC751C"/>
    <w:rsid w:val="050B29CC"/>
    <w:rsid w:val="05C3591F"/>
    <w:rsid w:val="0738519A"/>
    <w:rsid w:val="08315013"/>
    <w:rsid w:val="08C01BD2"/>
    <w:rsid w:val="09560D8F"/>
    <w:rsid w:val="09657CCF"/>
    <w:rsid w:val="09722673"/>
    <w:rsid w:val="0A0177C6"/>
    <w:rsid w:val="0A256ED7"/>
    <w:rsid w:val="0A9A08F5"/>
    <w:rsid w:val="0ACE4A7B"/>
    <w:rsid w:val="0BA2197F"/>
    <w:rsid w:val="0BAE182D"/>
    <w:rsid w:val="0BDB44DF"/>
    <w:rsid w:val="0C1075A8"/>
    <w:rsid w:val="0D303231"/>
    <w:rsid w:val="0D9D4E10"/>
    <w:rsid w:val="0DAB60A4"/>
    <w:rsid w:val="0E0C55C3"/>
    <w:rsid w:val="0EC02E46"/>
    <w:rsid w:val="0F247BCA"/>
    <w:rsid w:val="0F6F2B53"/>
    <w:rsid w:val="0FF066C0"/>
    <w:rsid w:val="11114D29"/>
    <w:rsid w:val="12014413"/>
    <w:rsid w:val="12312B61"/>
    <w:rsid w:val="12473DD0"/>
    <w:rsid w:val="132D4812"/>
    <w:rsid w:val="13875C69"/>
    <w:rsid w:val="147D128D"/>
    <w:rsid w:val="14CF38C9"/>
    <w:rsid w:val="15110423"/>
    <w:rsid w:val="15987B25"/>
    <w:rsid w:val="15AB4196"/>
    <w:rsid w:val="1763474C"/>
    <w:rsid w:val="18817829"/>
    <w:rsid w:val="1A372F8E"/>
    <w:rsid w:val="1AD15D12"/>
    <w:rsid w:val="1B930518"/>
    <w:rsid w:val="1C66722C"/>
    <w:rsid w:val="1C72431E"/>
    <w:rsid w:val="1C8A6274"/>
    <w:rsid w:val="1CD203FA"/>
    <w:rsid w:val="1CE354EA"/>
    <w:rsid w:val="1D5166A0"/>
    <w:rsid w:val="1DCA070E"/>
    <w:rsid w:val="1DE625F8"/>
    <w:rsid w:val="1E6A7BD1"/>
    <w:rsid w:val="1E790A01"/>
    <w:rsid w:val="2180296B"/>
    <w:rsid w:val="21F12992"/>
    <w:rsid w:val="228E449A"/>
    <w:rsid w:val="22D20BB5"/>
    <w:rsid w:val="22D7777E"/>
    <w:rsid w:val="23726318"/>
    <w:rsid w:val="238652B7"/>
    <w:rsid w:val="24653B66"/>
    <w:rsid w:val="24B453F2"/>
    <w:rsid w:val="256A6F10"/>
    <w:rsid w:val="26D2389C"/>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06378A6"/>
    <w:rsid w:val="309F7FA0"/>
    <w:rsid w:val="3133601F"/>
    <w:rsid w:val="32FB69AE"/>
    <w:rsid w:val="33E068FE"/>
    <w:rsid w:val="375A7DB4"/>
    <w:rsid w:val="39541A79"/>
    <w:rsid w:val="399C1FD3"/>
    <w:rsid w:val="39A74326"/>
    <w:rsid w:val="3A375ABE"/>
    <w:rsid w:val="3A3D7A35"/>
    <w:rsid w:val="3D6120B8"/>
    <w:rsid w:val="3E8D761F"/>
    <w:rsid w:val="3EF9141A"/>
    <w:rsid w:val="3FD339A9"/>
    <w:rsid w:val="400F6881"/>
    <w:rsid w:val="40750F19"/>
    <w:rsid w:val="41692C75"/>
    <w:rsid w:val="41B338B2"/>
    <w:rsid w:val="41DC6FBF"/>
    <w:rsid w:val="427F6529"/>
    <w:rsid w:val="428B6E8B"/>
    <w:rsid w:val="43DC3D35"/>
    <w:rsid w:val="44114246"/>
    <w:rsid w:val="44C5079E"/>
    <w:rsid w:val="47725383"/>
    <w:rsid w:val="483C70E8"/>
    <w:rsid w:val="4A0D00E9"/>
    <w:rsid w:val="4A6E45AC"/>
    <w:rsid w:val="4B0D4E9A"/>
    <w:rsid w:val="4B2831CC"/>
    <w:rsid w:val="4CC565C3"/>
    <w:rsid w:val="4CD50C12"/>
    <w:rsid w:val="4E271833"/>
    <w:rsid w:val="4E9471D1"/>
    <w:rsid w:val="4F3E3FD8"/>
    <w:rsid w:val="4FD067A1"/>
    <w:rsid w:val="50686EAE"/>
    <w:rsid w:val="511A1BE8"/>
    <w:rsid w:val="56564812"/>
    <w:rsid w:val="57C94496"/>
    <w:rsid w:val="58D07B1B"/>
    <w:rsid w:val="58EB5961"/>
    <w:rsid w:val="59F10A0D"/>
    <w:rsid w:val="5A3D1234"/>
    <w:rsid w:val="5A612F7B"/>
    <w:rsid w:val="5A827ACD"/>
    <w:rsid w:val="5ABC0BA4"/>
    <w:rsid w:val="5AE353CC"/>
    <w:rsid w:val="5BC922D1"/>
    <w:rsid w:val="5C3B49D6"/>
    <w:rsid w:val="5CF45488"/>
    <w:rsid w:val="5D581137"/>
    <w:rsid w:val="5DE13624"/>
    <w:rsid w:val="5DFA03A1"/>
    <w:rsid w:val="5E080A8E"/>
    <w:rsid w:val="5EFD0BAE"/>
    <w:rsid w:val="60636EDA"/>
    <w:rsid w:val="6119368B"/>
    <w:rsid w:val="611F624D"/>
    <w:rsid w:val="62842B8F"/>
    <w:rsid w:val="64843006"/>
    <w:rsid w:val="64CC56A0"/>
    <w:rsid w:val="659B3BAA"/>
    <w:rsid w:val="65AB00C6"/>
    <w:rsid w:val="66405EF1"/>
    <w:rsid w:val="68BC32C5"/>
    <w:rsid w:val="691D1948"/>
    <w:rsid w:val="69F0718E"/>
    <w:rsid w:val="6AB5211F"/>
    <w:rsid w:val="6AD0757E"/>
    <w:rsid w:val="6DA153EC"/>
    <w:rsid w:val="6DA21E09"/>
    <w:rsid w:val="6E3B25AB"/>
    <w:rsid w:val="6E8515A9"/>
    <w:rsid w:val="6F4D50BF"/>
    <w:rsid w:val="6F4D6A39"/>
    <w:rsid w:val="70C83B70"/>
    <w:rsid w:val="71C63D0B"/>
    <w:rsid w:val="739E7EFF"/>
    <w:rsid w:val="75661F17"/>
    <w:rsid w:val="77F709F2"/>
    <w:rsid w:val="781E079A"/>
    <w:rsid w:val="785D4826"/>
    <w:rsid w:val="795B186A"/>
    <w:rsid w:val="7985224E"/>
    <w:rsid w:val="79AC1E86"/>
    <w:rsid w:val="79C34C3C"/>
    <w:rsid w:val="7AF272A2"/>
    <w:rsid w:val="7BB4480E"/>
    <w:rsid w:val="7C0C3840"/>
    <w:rsid w:val="7CB44BA9"/>
    <w:rsid w:val="7CBE1A61"/>
    <w:rsid w:val="7D74601B"/>
    <w:rsid w:val="7D7B4BA5"/>
    <w:rsid w:val="7DD071D9"/>
    <w:rsid w:val="7DD55A92"/>
    <w:rsid w:val="7DE738DC"/>
    <w:rsid w:val="7E7169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1"/>
    <w:basedOn w:val="1"/>
    <w:next w:val="1"/>
    <w:link w:val="70"/>
    <w:qFormat/>
    <w:uiPriority w:val="0"/>
    <w:pPr>
      <w:keepNext/>
      <w:snapToGrid w:val="0"/>
      <w:spacing w:line="360" w:lineRule="atLeast"/>
      <w:outlineLvl w:val="0"/>
    </w:pPr>
    <w:rPr>
      <w:b/>
      <w:kern w:val="44"/>
      <w:sz w:val="44"/>
      <w:szCs w:val="20"/>
    </w:rPr>
  </w:style>
  <w:style w:type="paragraph" w:styleId="5">
    <w:name w:val="heading 2"/>
    <w:basedOn w:val="1"/>
    <w:next w:val="1"/>
    <w:link w:val="71"/>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link w:val="72"/>
    <w:qFormat/>
    <w:uiPriority w:val="0"/>
    <w:pPr>
      <w:keepNext/>
      <w:keepLines/>
      <w:spacing w:before="260" w:after="260" w:line="413" w:lineRule="auto"/>
      <w:outlineLvl w:val="2"/>
    </w:pPr>
    <w:rPr>
      <w:b/>
      <w:sz w:val="32"/>
      <w:szCs w:val="20"/>
    </w:rPr>
  </w:style>
  <w:style w:type="paragraph" w:styleId="7">
    <w:name w:val="heading 4"/>
    <w:basedOn w:val="1"/>
    <w:next w:val="1"/>
    <w:link w:val="73"/>
    <w:qFormat/>
    <w:uiPriority w:val="0"/>
    <w:pPr>
      <w:keepNext/>
      <w:keepLines/>
      <w:spacing w:before="280" w:after="290" w:line="372" w:lineRule="auto"/>
      <w:outlineLvl w:val="3"/>
    </w:pPr>
    <w:rPr>
      <w:rFonts w:ascii="Cambria" w:hAnsi="Cambria"/>
      <w:b/>
      <w:kern w:val="0"/>
      <w:szCs w:val="20"/>
    </w:rPr>
  </w:style>
  <w:style w:type="paragraph" w:styleId="8">
    <w:name w:val="heading 5"/>
    <w:basedOn w:val="1"/>
    <w:next w:val="1"/>
    <w:link w:val="74"/>
    <w:qFormat/>
    <w:uiPriority w:val="0"/>
    <w:pPr>
      <w:keepNext/>
      <w:keepLines/>
      <w:tabs>
        <w:tab w:val="left" w:pos="2551"/>
      </w:tabs>
      <w:spacing w:before="280" w:after="290" w:line="372" w:lineRule="auto"/>
      <w:ind w:left="2551" w:hanging="850"/>
      <w:outlineLvl w:val="4"/>
    </w:pPr>
    <w:rPr>
      <w:b/>
      <w:kern w:val="0"/>
      <w:szCs w:val="20"/>
    </w:rPr>
  </w:style>
  <w:style w:type="paragraph" w:styleId="9">
    <w:name w:val="heading 6"/>
    <w:basedOn w:val="1"/>
    <w:next w:val="1"/>
    <w:link w:val="75"/>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10">
    <w:name w:val="heading 7"/>
    <w:basedOn w:val="1"/>
    <w:next w:val="1"/>
    <w:link w:val="76"/>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1">
    <w:name w:val="heading 8"/>
    <w:basedOn w:val="1"/>
    <w:next w:val="1"/>
    <w:link w:val="77"/>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2">
    <w:name w:val="heading 9"/>
    <w:basedOn w:val="1"/>
    <w:next w:val="1"/>
    <w:link w:val="78"/>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2"/>
    <w:unhideWhenUsed/>
    <w:qFormat/>
    <w:uiPriority w:val="0"/>
    <w:pPr>
      <w:spacing w:after="120"/>
    </w:pPr>
  </w:style>
  <w:style w:type="paragraph" w:styleId="3">
    <w:name w:val="Body Text First Indent"/>
    <w:basedOn w:val="2"/>
    <w:link w:val="81"/>
    <w:qFormat/>
    <w:uiPriority w:val="0"/>
    <w:pPr>
      <w:spacing w:line="360" w:lineRule="auto"/>
      <w:ind w:firstLine="420"/>
    </w:pPr>
    <w:rPr>
      <w:kern w:val="0"/>
      <w:sz w:val="20"/>
      <w:szCs w:val="20"/>
    </w:rPr>
  </w:style>
  <w:style w:type="paragraph" w:styleId="13">
    <w:name w:val="List 3"/>
    <w:basedOn w:val="1"/>
    <w:qFormat/>
    <w:uiPriority w:val="0"/>
    <w:pPr>
      <w:adjustRightInd w:val="0"/>
      <w:snapToGrid w:val="0"/>
      <w:spacing w:line="360" w:lineRule="auto"/>
      <w:ind w:left="100" w:leftChars="400" w:hanging="200" w:hangingChars="200"/>
    </w:pPr>
    <w:rPr>
      <w:sz w:val="24"/>
      <w:szCs w:val="24"/>
    </w:rPr>
  </w:style>
  <w:style w:type="paragraph" w:styleId="14">
    <w:name w:val="toc 7"/>
    <w:basedOn w:val="1"/>
    <w:next w:val="1"/>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szCs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7">
    <w:name w:val="Normal Indent"/>
    <w:basedOn w:val="1"/>
    <w:qFormat/>
    <w:uiPriority w:val="0"/>
    <w:pPr>
      <w:adjustRightInd w:val="0"/>
      <w:snapToGrid w:val="0"/>
      <w:spacing w:line="360" w:lineRule="auto"/>
      <w:ind w:firstLine="420"/>
    </w:pPr>
    <w:rPr>
      <w:sz w:val="24"/>
      <w:szCs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19">
    <w:name w:val="Document Map"/>
    <w:basedOn w:val="1"/>
    <w:link w:val="83"/>
    <w:qFormat/>
    <w:uiPriority w:val="0"/>
    <w:pPr>
      <w:shd w:val="clear" w:color="auto" w:fill="000080"/>
    </w:pPr>
    <w:rPr>
      <w:kern w:val="0"/>
      <w:sz w:val="2"/>
      <w:szCs w:val="20"/>
    </w:rPr>
  </w:style>
  <w:style w:type="paragraph" w:styleId="20">
    <w:name w:val="toa heading"/>
    <w:basedOn w:val="1"/>
    <w:next w:val="1"/>
    <w:qFormat/>
    <w:uiPriority w:val="0"/>
    <w:pPr>
      <w:spacing w:before="120"/>
    </w:pPr>
    <w:rPr>
      <w:rFonts w:ascii="Arial" w:hAnsi="Arial" w:cs="Arial"/>
      <w:sz w:val="24"/>
      <w:szCs w:val="24"/>
    </w:rPr>
  </w:style>
  <w:style w:type="paragraph" w:styleId="21">
    <w:name w:val="annotation text"/>
    <w:basedOn w:val="1"/>
    <w:link w:val="79"/>
    <w:unhideWhenUsed/>
    <w:qFormat/>
    <w:uiPriority w:val="0"/>
    <w:pPr>
      <w:jc w:val="left"/>
    </w:pPr>
  </w:style>
  <w:style w:type="paragraph" w:styleId="22">
    <w:name w:val="Body Text 3"/>
    <w:basedOn w:val="1"/>
    <w:link w:val="84"/>
    <w:qFormat/>
    <w:uiPriority w:val="0"/>
    <w:pPr>
      <w:adjustRightInd w:val="0"/>
      <w:snapToGrid w:val="0"/>
      <w:spacing w:after="120" w:line="360" w:lineRule="auto"/>
    </w:pPr>
    <w:rPr>
      <w:kern w:val="0"/>
      <w:sz w:val="16"/>
      <w:szCs w:val="20"/>
    </w:rPr>
  </w:style>
  <w:style w:type="paragraph" w:styleId="23">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4">
    <w:name w:val="Body Text Indent"/>
    <w:basedOn w:val="1"/>
    <w:link w:val="68"/>
    <w:qFormat/>
    <w:uiPriority w:val="99"/>
    <w:pPr>
      <w:spacing w:line="700" w:lineRule="exact"/>
      <w:ind w:left="960"/>
    </w:pPr>
    <w:rPr>
      <w:sz w:val="44"/>
      <w:szCs w:val="20"/>
    </w:rPr>
  </w:style>
  <w:style w:type="paragraph" w:styleId="25">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6">
    <w:name w:val="List 2"/>
    <w:basedOn w:val="1"/>
    <w:qFormat/>
    <w:uiPriority w:val="0"/>
    <w:pPr>
      <w:adjustRightInd w:val="0"/>
      <w:snapToGrid w:val="0"/>
      <w:spacing w:line="360" w:lineRule="auto"/>
      <w:ind w:left="100" w:leftChars="200" w:hanging="200" w:hangingChars="200"/>
    </w:pPr>
    <w:rPr>
      <w:sz w:val="24"/>
      <w:szCs w:val="24"/>
    </w:rPr>
  </w:style>
  <w:style w:type="paragraph" w:styleId="27">
    <w:name w:val="List Continue"/>
    <w:basedOn w:val="1"/>
    <w:qFormat/>
    <w:uiPriority w:val="0"/>
    <w:pPr>
      <w:adjustRightInd w:val="0"/>
      <w:snapToGrid w:val="0"/>
      <w:spacing w:after="120" w:line="360" w:lineRule="auto"/>
      <w:ind w:left="420" w:leftChars="200"/>
    </w:pPr>
    <w:rPr>
      <w:sz w:val="24"/>
      <w:szCs w:val="24"/>
    </w:rPr>
  </w:style>
  <w:style w:type="paragraph" w:styleId="28">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85"/>
    <w:qFormat/>
    <w:uiPriority w:val="0"/>
    <w:rPr>
      <w:rFonts w:ascii="宋体" w:hAnsi="Courier New"/>
      <w:kern w:val="0"/>
      <w:sz w:val="21"/>
      <w:szCs w:val="20"/>
    </w:rPr>
  </w:style>
  <w:style w:type="paragraph" w:styleId="32">
    <w:name w:val="toc 8"/>
    <w:basedOn w:val="1"/>
    <w:next w:val="1"/>
    <w:qFormat/>
    <w:uiPriority w:val="0"/>
    <w:pPr>
      <w:ind w:left="2940" w:leftChars="1400"/>
    </w:pPr>
  </w:style>
  <w:style w:type="paragraph" w:styleId="33">
    <w:name w:val="Date"/>
    <w:basedOn w:val="1"/>
    <w:next w:val="1"/>
    <w:link w:val="86"/>
    <w:qFormat/>
    <w:uiPriority w:val="0"/>
    <w:rPr>
      <w:szCs w:val="20"/>
    </w:rPr>
  </w:style>
  <w:style w:type="paragraph" w:styleId="34">
    <w:name w:val="Body Text Indent 2"/>
    <w:basedOn w:val="1"/>
    <w:link w:val="87"/>
    <w:qFormat/>
    <w:uiPriority w:val="0"/>
    <w:pPr>
      <w:snapToGrid w:val="0"/>
      <w:spacing w:line="560" w:lineRule="atLeast"/>
      <w:ind w:firstLine="540"/>
    </w:pPr>
    <w:rPr>
      <w:szCs w:val="20"/>
    </w:rPr>
  </w:style>
  <w:style w:type="paragraph" w:styleId="35">
    <w:name w:val="Balloon Text"/>
    <w:basedOn w:val="1"/>
    <w:link w:val="88"/>
    <w:qFormat/>
    <w:uiPriority w:val="0"/>
    <w:rPr>
      <w:kern w:val="0"/>
      <w:sz w:val="21"/>
      <w:szCs w:val="20"/>
    </w:rPr>
  </w:style>
  <w:style w:type="paragraph" w:styleId="36">
    <w:name w:val="footer"/>
    <w:basedOn w:val="1"/>
    <w:link w:val="89"/>
    <w:qFormat/>
    <w:uiPriority w:val="0"/>
    <w:pPr>
      <w:tabs>
        <w:tab w:val="center" w:pos="4153"/>
        <w:tab w:val="right" w:pos="8306"/>
      </w:tabs>
      <w:snapToGrid w:val="0"/>
      <w:jc w:val="left"/>
    </w:pPr>
    <w:rPr>
      <w:kern w:val="0"/>
      <w:sz w:val="18"/>
      <w:szCs w:val="20"/>
    </w:rPr>
  </w:style>
  <w:style w:type="paragraph" w:styleId="37">
    <w:name w:val="header"/>
    <w:basedOn w:val="1"/>
    <w:link w:val="90"/>
    <w:qFormat/>
    <w:uiPriority w:val="0"/>
    <w:pPr>
      <w:pBdr>
        <w:bottom w:val="single" w:color="auto" w:sz="6" w:space="1"/>
      </w:pBdr>
      <w:tabs>
        <w:tab w:val="center" w:pos="4153"/>
        <w:tab w:val="right" w:pos="8306"/>
      </w:tabs>
      <w:snapToGrid w:val="0"/>
      <w:jc w:val="center"/>
    </w:pPr>
    <w:rPr>
      <w:sz w:val="18"/>
      <w:szCs w:val="20"/>
    </w:rPr>
  </w:style>
  <w:style w:type="paragraph" w:styleId="38">
    <w:name w:val="toc 1"/>
    <w:basedOn w:val="1"/>
    <w:next w:val="1"/>
    <w:qFormat/>
    <w:uiPriority w:val="39"/>
    <w:pPr>
      <w:spacing w:line="180" w:lineRule="auto"/>
      <w:jc w:val="center"/>
    </w:pPr>
    <w:rPr>
      <w:sz w:val="30"/>
      <w:szCs w:val="30"/>
    </w:rPr>
  </w:style>
  <w:style w:type="paragraph" w:styleId="39">
    <w:name w:val="List Continue 4"/>
    <w:basedOn w:val="1"/>
    <w:qFormat/>
    <w:uiPriority w:val="0"/>
    <w:pPr>
      <w:adjustRightInd w:val="0"/>
      <w:snapToGrid w:val="0"/>
      <w:spacing w:after="120" w:line="360" w:lineRule="auto"/>
      <w:ind w:left="1680" w:leftChars="800"/>
    </w:pPr>
    <w:rPr>
      <w:sz w:val="24"/>
      <w:szCs w:val="24"/>
    </w:rPr>
  </w:style>
  <w:style w:type="paragraph" w:styleId="40">
    <w:name w:val="toc 4"/>
    <w:basedOn w:val="1"/>
    <w:next w:val="1"/>
    <w:qFormat/>
    <w:uiPriority w:val="0"/>
    <w:pPr>
      <w:ind w:left="1260" w:leftChars="600"/>
    </w:pPr>
  </w:style>
  <w:style w:type="paragraph" w:styleId="41">
    <w:name w:val="footnote text"/>
    <w:basedOn w:val="1"/>
    <w:link w:val="91"/>
    <w:qFormat/>
    <w:uiPriority w:val="0"/>
    <w:pPr>
      <w:spacing w:line="360" w:lineRule="auto"/>
    </w:pPr>
    <w:rPr>
      <w:sz w:val="18"/>
      <w:szCs w:val="20"/>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szCs w:val="24"/>
    </w:rPr>
  </w:style>
  <w:style w:type="paragraph" w:styleId="44">
    <w:name w:val="Body Text Indent 3"/>
    <w:basedOn w:val="1"/>
    <w:link w:val="92"/>
    <w:qFormat/>
    <w:uiPriority w:val="0"/>
    <w:pPr>
      <w:spacing w:line="360" w:lineRule="auto"/>
      <w:ind w:firstLine="632"/>
    </w:pPr>
    <w:rPr>
      <w:kern w:val="0"/>
      <w:sz w:val="16"/>
      <w:szCs w:val="20"/>
    </w:rPr>
  </w:style>
  <w:style w:type="paragraph" w:styleId="45">
    <w:name w:val="table of figures"/>
    <w:basedOn w:val="1"/>
    <w:next w:val="1"/>
    <w:qFormat/>
    <w:uiPriority w:val="0"/>
    <w:pPr>
      <w:tabs>
        <w:tab w:val="right" w:leader="dot" w:pos="8640"/>
      </w:tabs>
      <w:spacing w:line="360" w:lineRule="auto"/>
      <w:ind w:left="400" w:hanging="400"/>
    </w:pPr>
    <w:rPr>
      <w:sz w:val="24"/>
      <w:szCs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link w:val="93"/>
    <w:qFormat/>
    <w:uiPriority w:val="0"/>
    <w:pPr>
      <w:adjustRightInd w:val="0"/>
      <w:snapToGrid w:val="0"/>
      <w:spacing w:after="120" w:line="480" w:lineRule="auto"/>
    </w:pPr>
    <w:rPr>
      <w:kern w:val="0"/>
      <w:sz w:val="20"/>
      <w:szCs w:val="20"/>
    </w:rPr>
  </w:style>
  <w:style w:type="paragraph" w:styleId="49">
    <w:name w:val="List 4"/>
    <w:basedOn w:val="1"/>
    <w:qFormat/>
    <w:uiPriority w:val="0"/>
    <w:pPr>
      <w:adjustRightInd w:val="0"/>
      <w:snapToGrid w:val="0"/>
      <w:spacing w:line="360" w:lineRule="auto"/>
      <w:ind w:left="100" w:leftChars="600" w:hanging="200" w:hangingChars="200"/>
    </w:pPr>
    <w:rPr>
      <w:sz w:val="24"/>
      <w:szCs w:val="24"/>
    </w:rPr>
  </w:style>
  <w:style w:type="paragraph" w:styleId="50">
    <w:name w:val="List Continue 2"/>
    <w:basedOn w:val="1"/>
    <w:qFormat/>
    <w:uiPriority w:val="0"/>
    <w:pPr>
      <w:adjustRightInd w:val="0"/>
      <w:snapToGrid w:val="0"/>
      <w:spacing w:after="120" w:line="360" w:lineRule="auto"/>
      <w:ind w:left="840" w:leftChars="400"/>
    </w:pPr>
    <w:rPr>
      <w:sz w:val="24"/>
      <w:szCs w:val="24"/>
    </w:rPr>
  </w:style>
  <w:style w:type="paragraph" w:styleId="5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2">
    <w:name w:val="List Continue 3"/>
    <w:basedOn w:val="1"/>
    <w:qFormat/>
    <w:uiPriority w:val="0"/>
    <w:pPr>
      <w:adjustRightInd w:val="0"/>
      <w:snapToGrid w:val="0"/>
      <w:spacing w:after="120" w:line="360" w:lineRule="auto"/>
      <w:ind w:left="1260" w:leftChars="600"/>
    </w:pPr>
    <w:rPr>
      <w:sz w:val="24"/>
      <w:szCs w:val="24"/>
    </w:rPr>
  </w:style>
  <w:style w:type="paragraph" w:styleId="53">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4">
    <w:name w:val="Title"/>
    <w:basedOn w:val="1"/>
    <w:link w:val="94"/>
    <w:qFormat/>
    <w:uiPriority w:val="0"/>
    <w:pPr>
      <w:widowControl/>
      <w:spacing w:after="240" w:line="360" w:lineRule="auto"/>
      <w:jc w:val="center"/>
    </w:pPr>
    <w:rPr>
      <w:rFonts w:ascii="Cambria" w:hAnsi="Cambria"/>
      <w:b/>
      <w:kern w:val="0"/>
      <w:sz w:val="32"/>
      <w:szCs w:val="20"/>
    </w:rPr>
  </w:style>
  <w:style w:type="paragraph" w:styleId="55">
    <w:name w:val="annotation subject"/>
    <w:basedOn w:val="21"/>
    <w:next w:val="21"/>
    <w:link w:val="80"/>
    <w:qFormat/>
    <w:uiPriority w:val="0"/>
    <w:rPr>
      <w:szCs w:val="20"/>
    </w:rPr>
  </w:style>
  <w:style w:type="paragraph" w:styleId="56">
    <w:name w:val="Body Text First Indent 2"/>
    <w:basedOn w:val="24"/>
    <w:link w:val="69"/>
    <w:qFormat/>
    <w:uiPriority w:val="99"/>
    <w:pPr>
      <w:spacing w:after="120" w:line="240" w:lineRule="auto"/>
      <w:ind w:left="420" w:leftChars="200" w:firstLine="420" w:firstLineChars="200"/>
    </w:pPr>
  </w:style>
  <w:style w:type="table" w:styleId="58">
    <w:name w:val="Table Grid"/>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rFonts w:cs="Times New Roman"/>
      <w:b/>
    </w:rPr>
  </w:style>
  <w:style w:type="character" w:styleId="61">
    <w:name w:val="page number"/>
    <w:qFormat/>
    <w:uiPriority w:val="0"/>
    <w:rPr>
      <w:rFonts w:cs="Times New Roman"/>
    </w:rPr>
  </w:style>
  <w:style w:type="character" w:styleId="62">
    <w:name w:val="FollowedHyperlink"/>
    <w:qFormat/>
    <w:uiPriority w:val="99"/>
    <w:rPr>
      <w:rFonts w:cs="Times New Roman"/>
      <w:color w:val="800080"/>
      <w:u w:val="single"/>
    </w:rPr>
  </w:style>
  <w:style w:type="character" w:styleId="63">
    <w:name w:val="Emphasis"/>
    <w:qFormat/>
    <w:uiPriority w:val="0"/>
    <w:rPr>
      <w:rFonts w:cs="Times New Roman"/>
      <w:i/>
    </w:rPr>
  </w:style>
  <w:style w:type="character" w:styleId="64">
    <w:name w:val="Hyperlink"/>
    <w:qFormat/>
    <w:uiPriority w:val="99"/>
    <w:rPr>
      <w:rFonts w:cs="Times New Roman"/>
      <w:color w:val="0000FF"/>
      <w:u w:val="single"/>
    </w:rPr>
  </w:style>
  <w:style w:type="character" w:styleId="65">
    <w:name w:val="annotation reference"/>
    <w:qFormat/>
    <w:uiPriority w:val="0"/>
    <w:rPr>
      <w:rFonts w:eastAsia="宋体" w:cs="Times New Roman"/>
      <w:sz w:val="28"/>
    </w:rPr>
  </w:style>
  <w:style w:type="character" w:styleId="66">
    <w:name w:val="footnote reference"/>
    <w:qFormat/>
    <w:uiPriority w:val="0"/>
    <w:rPr>
      <w:rFonts w:cs="Times New Roman"/>
      <w:position w:val="6"/>
      <w:sz w:val="14"/>
      <w:vertAlign w:val="superscript"/>
    </w:rPr>
  </w:style>
  <w:style w:type="paragraph" w:customStyle="1" w:styleId="67">
    <w:name w:val="目录 53"/>
    <w:next w:val="1"/>
    <w:qFormat/>
    <w:uiPriority w:val="0"/>
    <w:pPr>
      <w:wordWrap w:val="0"/>
      <w:ind w:left="1275"/>
      <w:jc w:val="both"/>
    </w:pPr>
    <w:rPr>
      <w:rFonts w:ascii="Calibri" w:hAnsi="Calibri" w:eastAsia="宋体" w:cs="Times New Roman"/>
      <w:sz w:val="21"/>
      <w:lang w:val="en-US" w:eastAsia="zh-CN" w:bidi="ar-SA"/>
    </w:rPr>
  </w:style>
  <w:style w:type="character" w:customStyle="1" w:styleId="68">
    <w:name w:val="正文文本缩进 Char"/>
    <w:basedOn w:val="59"/>
    <w:link w:val="24"/>
    <w:qFormat/>
    <w:uiPriority w:val="99"/>
    <w:rPr>
      <w:rFonts w:ascii="Times New Roman" w:hAnsi="Times New Roman" w:eastAsia="宋体" w:cs="Times New Roman"/>
      <w:sz w:val="44"/>
      <w:szCs w:val="20"/>
    </w:rPr>
  </w:style>
  <w:style w:type="character" w:customStyle="1" w:styleId="69">
    <w:name w:val="正文首行缩进 2 Char"/>
    <w:basedOn w:val="68"/>
    <w:link w:val="56"/>
    <w:qFormat/>
    <w:uiPriority w:val="99"/>
    <w:rPr>
      <w:rFonts w:ascii="Times New Roman" w:hAnsi="Times New Roman" w:eastAsia="宋体" w:cs="Times New Roman"/>
      <w:sz w:val="44"/>
      <w:szCs w:val="20"/>
    </w:rPr>
  </w:style>
  <w:style w:type="character" w:customStyle="1" w:styleId="70">
    <w:name w:val="标题 1 Char"/>
    <w:basedOn w:val="59"/>
    <w:link w:val="4"/>
    <w:qFormat/>
    <w:uiPriority w:val="0"/>
    <w:rPr>
      <w:rFonts w:ascii="Times New Roman" w:hAnsi="Times New Roman" w:eastAsia="宋体" w:cs="Times New Roman"/>
      <w:b/>
      <w:kern w:val="44"/>
      <w:sz w:val="44"/>
      <w:szCs w:val="20"/>
    </w:rPr>
  </w:style>
  <w:style w:type="character" w:customStyle="1" w:styleId="71">
    <w:name w:val="标题 2 Char"/>
    <w:basedOn w:val="59"/>
    <w:link w:val="5"/>
    <w:qFormat/>
    <w:uiPriority w:val="0"/>
    <w:rPr>
      <w:rFonts w:ascii="Arial" w:hAnsi="Arial" w:eastAsia="黑体" w:cs="Times New Roman"/>
      <w:b/>
      <w:sz w:val="32"/>
      <w:szCs w:val="20"/>
    </w:rPr>
  </w:style>
  <w:style w:type="character" w:customStyle="1" w:styleId="72">
    <w:name w:val="标题 3 Char"/>
    <w:basedOn w:val="59"/>
    <w:link w:val="6"/>
    <w:qFormat/>
    <w:uiPriority w:val="0"/>
    <w:rPr>
      <w:rFonts w:ascii="Times New Roman" w:hAnsi="Times New Roman" w:eastAsia="宋体" w:cs="Times New Roman"/>
      <w:b/>
      <w:sz w:val="32"/>
      <w:szCs w:val="20"/>
    </w:rPr>
  </w:style>
  <w:style w:type="character" w:customStyle="1" w:styleId="73">
    <w:name w:val="标题 4 Char"/>
    <w:basedOn w:val="59"/>
    <w:link w:val="7"/>
    <w:qFormat/>
    <w:uiPriority w:val="0"/>
    <w:rPr>
      <w:rFonts w:ascii="Cambria" w:hAnsi="Cambria" w:eastAsia="宋体" w:cs="Times New Roman"/>
      <w:b/>
      <w:kern w:val="0"/>
      <w:sz w:val="28"/>
      <w:szCs w:val="20"/>
    </w:rPr>
  </w:style>
  <w:style w:type="character" w:customStyle="1" w:styleId="74">
    <w:name w:val="标题 5 Char"/>
    <w:basedOn w:val="59"/>
    <w:link w:val="8"/>
    <w:qFormat/>
    <w:uiPriority w:val="0"/>
    <w:rPr>
      <w:rFonts w:ascii="Times New Roman" w:hAnsi="Times New Roman" w:eastAsia="宋体" w:cs="Times New Roman"/>
      <w:b/>
      <w:kern w:val="0"/>
      <w:sz w:val="28"/>
      <w:szCs w:val="20"/>
    </w:rPr>
  </w:style>
  <w:style w:type="character" w:customStyle="1" w:styleId="75">
    <w:name w:val="标题 6 Char"/>
    <w:basedOn w:val="59"/>
    <w:link w:val="9"/>
    <w:qFormat/>
    <w:uiPriority w:val="0"/>
    <w:rPr>
      <w:rFonts w:ascii="Cambria" w:hAnsi="Cambria" w:eastAsia="宋体" w:cs="Times New Roman"/>
      <w:b/>
      <w:kern w:val="0"/>
      <w:sz w:val="24"/>
      <w:szCs w:val="20"/>
    </w:rPr>
  </w:style>
  <w:style w:type="character" w:customStyle="1" w:styleId="76">
    <w:name w:val="标题 7 Char"/>
    <w:basedOn w:val="59"/>
    <w:link w:val="10"/>
    <w:qFormat/>
    <w:uiPriority w:val="0"/>
    <w:rPr>
      <w:rFonts w:ascii="Times New Roman" w:hAnsi="Times New Roman" w:eastAsia="宋体" w:cs="Times New Roman"/>
      <w:b/>
      <w:kern w:val="0"/>
      <w:sz w:val="24"/>
      <w:szCs w:val="20"/>
    </w:rPr>
  </w:style>
  <w:style w:type="character" w:customStyle="1" w:styleId="77">
    <w:name w:val="标题 8 Char"/>
    <w:basedOn w:val="59"/>
    <w:link w:val="11"/>
    <w:qFormat/>
    <w:uiPriority w:val="0"/>
    <w:rPr>
      <w:rFonts w:ascii="Cambria" w:hAnsi="Cambria" w:eastAsia="宋体" w:cs="Times New Roman"/>
      <w:kern w:val="0"/>
      <w:sz w:val="24"/>
      <w:szCs w:val="20"/>
    </w:rPr>
  </w:style>
  <w:style w:type="character" w:customStyle="1" w:styleId="78">
    <w:name w:val="标题 9 Char"/>
    <w:basedOn w:val="59"/>
    <w:link w:val="12"/>
    <w:qFormat/>
    <w:uiPriority w:val="0"/>
    <w:rPr>
      <w:rFonts w:ascii="Cambria" w:hAnsi="Cambria" w:eastAsia="宋体" w:cs="Times New Roman"/>
      <w:kern w:val="0"/>
      <w:szCs w:val="20"/>
    </w:rPr>
  </w:style>
  <w:style w:type="character" w:customStyle="1" w:styleId="79">
    <w:name w:val="批注文字 Char"/>
    <w:basedOn w:val="59"/>
    <w:link w:val="21"/>
    <w:qFormat/>
    <w:uiPriority w:val="0"/>
    <w:rPr>
      <w:rFonts w:ascii="Times New Roman" w:hAnsi="Times New Roman" w:eastAsia="宋体" w:cs="Times New Roman"/>
      <w:sz w:val="28"/>
      <w:szCs w:val="28"/>
    </w:rPr>
  </w:style>
  <w:style w:type="character" w:customStyle="1" w:styleId="80">
    <w:name w:val="批注主题 Char"/>
    <w:basedOn w:val="79"/>
    <w:link w:val="55"/>
    <w:qFormat/>
    <w:uiPriority w:val="0"/>
    <w:rPr>
      <w:rFonts w:ascii="Times New Roman" w:hAnsi="Times New Roman" w:eastAsia="宋体" w:cs="Times New Roman"/>
      <w:sz w:val="28"/>
      <w:szCs w:val="20"/>
    </w:rPr>
  </w:style>
  <w:style w:type="character" w:customStyle="1" w:styleId="81">
    <w:name w:val="正文首行缩进 Char"/>
    <w:basedOn w:val="82"/>
    <w:link w:val="3"/>
    <w:qFormat/>
    <w:uiPriority w:val="0"/>
    <w:rPr>
      <w:rFonts w:ascii="Times New Roman" w:hAnsi="Times New Roman" w:eastAsia="宋体" w:cs="Times New Roman"/>
      <w:kern w:val="0"/>
      <w:sz w:val="20"/>
      <w:szCs w:val="20"/>
    </w:rPr>
  </w:style>
  <w:style w:type="character" w:customStyle="1" w:styleId="82">
    <w:name w:val="正文文本 Char"/>
    <w:basedOn w:val="59"/>
    <w:link w:val="2"/>
    <w:semiHidden/>
    <w:qFormat/>
    <w:uiPriority w:val="99"/>
    <w:rPr>
      <w:rFonts w:ascii="Times New Roman" w:hAnsi="Times New Roman" w:eastAsia="宋体" w:cs="Times New Roman"/>
      <w:sz w:val="28"/>
      <w:szCs w:val="28"/>
    </w:rPr>
  </w:style>
  <w:style w:type="character" w:customStyle="1" w:styleId="83">
    <w:name w:val="文档结构图 Char"/>
    <w:basedOn w:val="59"/>
    <w:link w:val="19"/>
    <w:qFormat/>
    <w:uiPriority w:val="0"/>
    <w:rPr>
      <w:rFonts w:ascii="Times New Roman" w:hAnsi="Times New Roman" w:eastAsia="宋体" w:cs="Times New Roman"/>
      <w:kern w:val="0"/>
      <w:sz w:val="2"/>
      <w:szCs w:val="20"/>
      <w:shd w:val="clear" w:color="auto" w:fill="000080"/>
    </w:rPr>
  </w:style>
  <w:style w:type="character" w:customStyle="1" w:styleId="84">
    <w:name w:val="正文文本 3 Char"/>
    <w:basedOn w:val="59"/>
    <w:link w:val="22"/>
    <w:qFormat/>
    <w:uiPriority w:val="0"/>
    <w:rPr>
      <w:rFonts w:ascii="Times New Roman" w:hAnsi="Times New Roman" w:eastAsia="宋体" w:cs="Times New Roman"/>
      <w:kern w:val="0"/>
      <w:sz w:val="16"/>
      <w:szCs w:val="20"/>
    </w:rPr>
  </w:style>
  <w:style w:type="character" w:customStyle="1" w:styleId="85">
    <w:name w:val="纯文本 Char"/>
    <w:basedOn w:val="59"/>
    <w:link w:val="31"/>
    <w:qFormat/>
    <w:uiPriority w:val="0"/>
    <w:rPr>
      <w:rFonts w:ascii="宋体" w:hAnsi="Courier New" w:eastAsia="宋体" w:cs="Times New Roman"/>
      <w:kern w:val="0"/>
      <w:szCs w:val="20"/>
    </w:rPr>
  </w:style>
  <w:style w:type="character" w:customStyle="1" w:styleId="86">
    <w:name w:val="日期 Char"/>
    <w:basedOn w:val="59"/>
    <w:link w:val="33"/>
    <w:qFormat/>
    <w:uiPriority w:val="0"/>
    <w:rPr>
      <w:rFonts w:ascii="Times New Roman" w:hAnsi="Times New Roman" w:eastAsia="宋体" w:cs="Times New Roman"/>
      <w:sz w:val="28"/>
      <w:szCs w:val="20"/>
    </w:rPr>
  </w:style>
  <w:style w:type="character" w:customStyle="1" w:styleId="87">
    <w:name w:val="正文文本缩进 2 Char"/>
    <w:basedOn w:val="59"/>
    <w:link w:val="34"/>
    <w:qFormat/>
    <w:uiPriority w:val="0"/>
    <w:rPr>
      <w:rFonts w:ascii="Times New Roman" w:hAnsi="Times New Roman" w:eastAsia="宋体" w:cs="Times New Roman"/>
      <w:sz w:val="28"/>
      <w:szCs w:val="20"/>
    </w:rPr>
  </w:style>
  <w:style w:type="character" w:customStyle="1" w:styleId="88">
    <w:name w:val="批注框文本 Char"/>
    <w:basedOn w:val="59"/>
    <w:link w:val="35"/>
    <w:qFormat/>
    <w:uiPriority w:val="0"/>
    <w:rPr>
      <w:rFonts w:ascii="Times New Roman" w:hAnsi="Times New Roman" w:eastAsia="宋体" w:cs="Times New Roman"/>
      <w:kern w:val="0"/>
      <w:szCs w:val="20"/>
    </w:rPr>
  </w:style>
  <w:style w:type="character" w:customStyle="1" w:styleId="89">
    <w:name w:val="页脚 Char"/>
    <w:basedOn w:val="59"/>
    <w:link w:val="36"/>
    <w:qFormat/>
    <w:uiPriority w:val="0"/>
    <w:rPr>
      <w:rFonts w:ascii="Times New Roman" w:hAnsi="Times New Roman" w:eastAsia="宋体" w:cs="Times New Roman"/>
      <w:kern w:val="0"/>
      <w:sz w:val="18"/>
      <w:szCs w:val="20"/>
    </w:rPr>
  </w:style>
  <w:style w:type="character" w:customStyle="1" w:styleId="90">
    <w:name w:val="页眉 Char"/>
    <w:basedOn w:val="59"/>
    <w:link w:val="37"/>
    <w:qFormat/>
    <w:uiPriority w:val="0"/>
    <w:rPr>
      <w:rFonts w:ascii="Times New Roman" w:hAnsi="Times New Roman" w:eastAsia="宋体" w:cs="Times New Roman"/>
      <w:sz w:val="18"/>
      <w:szCs w:val="20"/>
    </w:rPr>
  </w:style>
  <w:style w:type="character" w:customStyle="1" w:styleId="91">
    <w:name w:val="脚注文本 Char"/>
    <w:basedOn w:val="59"/>
    <w:link w:val="41"/>
    <w:qFormat/>
    <w:uiPriority w:val="0"/>
    <w:rPr>
      <w:rFonts w:ascii="Times New Roman" w:hAnsi="Times New Roman" w:eastAsia="宋体" w:cs="Times New Roman"/>
      <w:sz w:val="18"/>
      <w:szCs w:val="20"/>
    </w:rPr>
  </w:style>
  <w:style w:type="character" w:customStyle="1" w:styleId="92">
    <w:name w:val="正文文本缩进 3 Char"/>
    <w:basedOn w:val="59"/>
    <w:link w:val="44"/>
    <w:qFormat/>
    <w:uiPriority w:val="0"/>
    <w:rPr>
      <w:rFonts w:ascii="Times New Roman" w:hAnsi="Times New Roman" w:eastAsia="宋体" w:cs="Times New Roman"/>
      <w:kern w:val="0"/>
      <w:sz w:val="16"/>
      <w:szCs w:val="20"/>
    </w:rPr>
  </w:style>
  <w:style w:type="character" w:customStyle="1" w:styleId="93">
    <w:name w:val="正文文本 2 Char"/>
    <w:basedOn w:val="59"/>
    <w:link w:val="48"/>
    <w:qFormat/>
    <w:uiPriority w:val="0"/>
    <w:rPr>
      <w:rFonts w:ascii="Times New Roman" w:hAnsi="Times New Roman" w:eastAsia="宋体" w:cs="Times New Roman"/>
      <w:kern w:val="0"/>
      <w:sz w:val="20"/>
      <w:szCs w:val="20"/>
    </w:rPr>
  </w:style>
  <w:style w:type="character" w:customStyle="1" w:styleId="94">
    <w:name w:val="标题 Char"/>
    <w:basedOn w:val="59"/>
    <w:link w:val="54"/>
    <w:qFormat/>
    <w:uiPriority w:val="0"/>
    <w:rPr>
      <w:rFonts w:ascii="Cambria" w:hAnsi="Cambria" w:eastAsia="宋体" w:cs="Times New Roman"/>
      <w:b/>
      <w:kern w:val="0"/>
      <w:sz w:val="32"/>
      <w:szCs w:val="20"/>
    </w:rPr>
  </w:style>
  <w:style w:type="character" w:customStyle="1" w:styleId="95">
    <w:name w:val="Char Char3"/>
    <w:qFormat/>
    <w:uiPriority w:val="0"/>
    <w:rPr>
      <w:rFonts w:eastAsia="宋体"/>
      <w:kern w:val="2"/>
      <w:sz w:val="18"/>
      <w:lang w:val="en-US" w:eastAsia="zh-CN"/>
    </w:rPr>
  </w:style>
  <w:style w:type="character" w:customStyle="1" w:styleId="96">
    <w:name w:val="top-det1"/>
    <w:qFormat/>
    <w:uiPriority w:val="0"/>
    <w:rPr>
      <w:b/>
      <w:color w:val="000000"/>
    </w:rPr>
  </w:style>
  <w:style w:type="character" w:customStyle="1" w:styleId="97">
    <w:name w:val="font51"/>
    <w:qFormat/>
    <w:uiPriority w:val="99"/>
    <w:rPr>
      <w:rFonts w:ascii="宋体" w:hAnsi="宋体" w:eastAsia="宋体"/>
      <w:color w:val="000000"/>
      <w:sz w:val="32"/>
      <w:u w:val="none"/>
    </w:rPr>
  </w:style>
  <w:style w:type="character" w:customStyle="1" w:styleId="98">
    <w:name w:val="文字 Char Char"/>
    <w:link w:val="99"/>
    <w:qFormat/>
    <w:locked/>
    <w:uiPriority w:val="99"/>
    <w:rPr>
      <w:rFonts w:ascii="宋体"/>
      <w:sz w:val="28"/>
    </w:rPr>
  </w:style>
  <w:style w:type="paragraph" w:customStyle="1" w:styleId="99">
    <w:name w:val="文字"/>
    <w:basedOn w:val="1"/>
    <w:link w:val="98"/>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100">
    <w:name w:val="正文 + 三号 Char"/>
    <w:qFormat/>
    <w:uiPriority w:val="0"/>
    <w:rPr>
      <w:rFonts w:eastAsia="宋体"/>
      <w:kern w:val="2"/>
      <w:sz w:val="21"/>
      <w:lang w:val="en-US" w:eastAsia="zh-CN"/>
    </w:rPr>
  </w:style>
  <w:style w:type="character" w:customStyle="1" w:styleId="101">
    <w:name w:val="样式 宋体"/>
    <w:qFormat/>
    <w:uiPriority w:val="0"/>
    <w:rPr>
      <w:rFonts w:ascii="宋体" w:hAnsi="宋体" w:eastAsia="宋体"/>
      <w:sz w:val="28"/>
    </w:rPr>
  </w:style>
  <w:style w:type="character" w:customStyle="1" w:styleId="102">
    <w:name w:val="Char Char4"/>
    <w:qFormat/>
    <w:uiPriority w:val="0"/>
    <w:rPr>
      <w:rFonts w:eastAsia="宋体"/>
      <w:b/>
      <w:kern w:val="2"/>
      <w:sz w:val="21"/>
      <w:lang w:val="en-US" w:eastAsia="zh-CN"/>
    </w:rPr>
  </w:style>
  <w:style w:type="character" w:customStyle="1" w:styleId="103">
    <w:name w:val="apple-converted-space"/>
    <w:qFormat/>
    <w:uiPriority w:val="99"/>
  </w:style>
  <w:style w:type="character" w:customStyle="1" w:styleId="104">
    <w:name w:val="Table Heading Char Char"/>
    <w:qFormat/>
    <w:uiPriority w:val="0"/>
    <w:rPr>
      <w:rFonts w:ascii="Arial" w:hAnsi="Arial" w:eastAsia="黑体"/>
      <w:kern w:val="2"/>
      <w:sz w:val="18"/>
      <w:lang w:val="en-US" w:eastAsia="zh-CN"/>
    </w:rPr>
  </w:style>
  <w:style w:type="character" w:customStyle="1" w:styleId="105">
    <w:name w:val="未命名11"/>
    <w:qFormat/>
    <w:uiPriority w:val="0"/>
    <w:rPr>
      <w:color w:val="auto"/>
      <w:sz w:val="24"/>
    </w:rPr>
  </w:style>
  <w:style w:type="character" w:customStyle="1" w:styleId="106">
    <w:name w:val="font31"/>
    <w:qFormat/>
    <w:uiPriority w:val="99"/>
    <w:rPr>
      <w:rFonts w:ascii="Times New Roman" w:hAnsi="Times New Roman"/>
      <w:color w:val="000000"/>
      <w:sz w:val="36"/>
      <w:u w:val="none"/>
    </w:rPr>
  </w:style>
  <w:style w:type="character" w:customStyle="1" w:styleId="107">
    <w:name w:val="font61"/>
    <w:qFormat/>
    <w:uiPriority w:val="99"/>
    <w:rPr>
      <w:rFonts w:ascii="宋体" w:hAnsi="宋体" w:eastAsia="宋体"/>
      <w:color w:val="000000"/>
      <w:sz w:val="30"/>
      <w:u w:val="none"/>
    </w:rPr>
  </w:style>
  <w:style w:type="character" w:customStyle="1" w:styleId="108">
    <w:name w:val="crowed11"/>
    <w:qFormat/>
    <w:uiPriority w:val="0"/>
    <w:rPr>
      <w:sz w:val="24"/>
    </w:rPr>
  </w:style>
  <w:style w:type="character" w:customStyle="1" w:styleId="109">
    <w:name w:val="content-white1"/>
    <w:qFormat/>
    <w:uiPriority w:val="0"/>
    <w:rPr>
      <w:color w:val="auto"/>
      <w:sz w:val="18"/>
      <w:u w:val="none"/>
    </w:rPr>
  </w:style>
  <w:style w:type="character" w:customStyle="1" w:styleId="110">
    <w:name w:val="title_emph1"/>
    <w:qFormat/>
    <w:uiPriority w:val="99"/>
    <w:rPr>
      <w:rFonts w:ascii="Arial" w:hAnsi="Arial"/>
      <w:b/>
      <w:sz w:val="20"/>
    </w:rPr>
  </w:style>
  <w:style w:type="character" w:customStyle="1" w:styleId="111">
    <w:name w:val="Table Text Char1 Char Char"/>
    <w:qFormat/>
    <w:uiPriority w:val="99"/>
    <w:rPr>
      <w:rFonts w:ascii="Arial" w:hAnsi="Arial"/>
      <w:kern w:val="2"/>
      <w:sz w:val="18"/>
      <w:lang w:val="en-US" w:eastAsia="zh-CN"/>
    </w:rPr>
  </w:style>
  <w:style w:type="character" w:customStyle="1" w:styleId="112">
    <w:name w:val="Char Char Char Char Char Char Char Char Char"/>
    <w:qFormat/>
    <w:uiPriority w:val="99"/>
    <w:rPr>
      <w:rFonts w:ascii="宋体" w:hAnsi="宋体" w:eastAsia="宋体"/>
      <w:kern w:val="2"/>
      <w:sz w:val="24"/>
      <w:lang w:val="en-US" w:eastAsia="zh-CN"/>
    </w:rPr>
  </w:style>
  <w:style w:type="character" w:customStyle="1" w:styleId="113">
    <w:name w:val="font11"/>
    <w:qFormat/>
    <w:uiPriority w:val="99"/>
    <w:rPr>
      <w:rFonts w:ascii="宋体" w:hAnsi="宋体" w:eastAsia="宋体"/>
      <w:color w:val="000000"/>
      <w:sz w:val="36"/>
      <w:u w:val="none"/>
    </w:rPr>
  </w:style>
  <w:style w:type="character" w:customStyle="1" w:styleId="114">
    <w:name w:val="Table Text Char Char Char Char"/>
    <w:link w:val="115"/>
    <w:qFormat/>
    <w:locked/>
    <w:uiPriority w:val="0"/>
    <w:rPr>
      <w:rFonts w:ascii="Arial" w:hAnsi="Arial"/>
      <w:sz w:val="18"/>
    </w:rPr>
  </w:style>
  <w:style w:type="paragraph" w:customStyle="1" w:styleId="115">
    <w:name w:val="Table Text"/>
    <w:link w:val="114"/>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6">
    <w:name w:val="font41"/>
    <w:qFormat/>
    <w:uiPriority w:val="99"/>
    <w:rPr>
      <w:rFonts w:ascii="宋体" w:hAnsi="宋体" w:eastAsia="宋体"/>
      <w:color w:val="000000"/>
      <w:sz w:val="36"/>
      <w:u w:val="none"/>
    </w:rPr>
  </w:style>
  <w:style w:type="character" w:customStyle="1" w:styleId="117">
    <w:name w:val="Char Char2"/>
    <w:qFormat/>
    <w:uiPriority w:val="0"/>
    <w:rPr>
      <w:rFonts w:eastAsia="宋体"/>
      <w:kern w:val="2"/>
      <w:sz w:val="18"/>
      <w:lang w:val="en-US" w:eastAsia="zh-CN"/>
    </w:rPr>
  </w:style>
  <w:style w:type="character" w:customStyle="1" w:styleId="118">
    <w:name w:val="Char Char6"/>
    <w:qFormat/>
    <w:uiPriority w:val="0"/>
    <w:rPr>
      <w:rFonts w:ascii="仿宋_GB2312" w:eastAsia="仿宋_GB2312"/>
      <w:kern w:val="2"/>
      <w:sz w:val="32"/>
    </w:rPr>
  </w:style>
  <w:style w:type="character" w:customStyle="1" w:styleId="119">
    <w:name w:val="Char Char5"/>
    <w:qFormat/>
    <w:uiPriority w:val="0"/>
    <w:rPr>
      <w:rFonts w:ascii="Arial" w:hAnsi="Arial" w:eastAsia="宋体"/>
      <w:b/>
      <w:smallCaps/>
      <w:kern w:val="28"/>
      <w:sz w:val="36"/>
      <w:lang w:val="en-US" w:eastAsia="en-US"/>
    </w:rPr>
  </w:style>
  <w:style w:type="character" w:customStyle="1" w:styleId="120">
    <w:name w:val="param-name1"/>
    <w:qFormat/>
    <w:uiPriority w:val="99"/>
    <w:rPr>
      <w:b/>
    </w:rPr>
  </w:style>
  <w:style w:type="character" w:customStyle="1" w:styleId="121">
    <w:name w:val="v151"/>
    <w:qFormat/>
    <w:uiPriority w:val="0"/>
    <w:rPr>
      <w:sz w:val="18"/>
    </w:rPr>
  </w:style>
  <w:style w:type="character" w:customStyle="1" w:styleId="122">
    <w:name w:val="H2 Char"/>
    <w:qFormat/>
    <w:uiPriority w:val="99"/>
    <w:rPr>
      <w:rFonts w:ascii="Arial" w:hAnsi="Arial" w:eastAsia="宋体"/>
      <w:kern w:val="2"/>
      <w:sz w:val="28"/>
      <w:lang w:val="en-US" w:eastAsia="zh-CN"/>
    </w:rPr>
  </w:style>
  <w:style w:type="character" w:customStyle="1" w:styleId="123">
    <w:name w:val="小 Char"/>
    <w:qFormat/>
    <w:uiPriority w:val="0"/>
    <w:rPr>
      <w:rFonts w:ascii="宋体" w:hAnsi="Courier New" w:eastAsia="宋体"/>
      <w:kern w:val="2"/>
      <w:sz w:val="21"/>
      <w:lang w:val="en-US" w:eastAsia="zh-CN"/>
    </w:rPr>
  </w:style>
  <w:style w:type="character" w:customStyle="1" w:styleId="124">
    <w:name w:val="Char Char11"/>
    <w:qFormat/>
    <w:uiPriority w:val="99"/>
    <w:rPr>
      <w:rFonts w:ascii="宋体"/>
      <w:kern w:val="2"/>
      <w:sz w:val="28"/>
    </w:rPr>
  </w:style>
  <w:style w:type="character" w:customStyle="1" w:styleId="125">
    <w:name w:val="font1"/>
    <w:qFormat/>
    <w:uiPriority w:val="0"/>
    <w:rPr>
      <w:color w:val="000000"/>
      <w:sz w:val="18"/>
    </w:rPr>
  </w:style>
  <w:style w:type="character" w:customStyle="1" w:styleId="126">
    <w:name w:val="标书正文:  0.74 厘米 Char1"/>
    <w:qFormat/>
    <w:uiPriority w:val="0"/>
    <w:rPr>
      <w:rFonts w:eastAsia="宋体"/>
      <w:kern w:val="2"/>
      <w:sz w:val="24"/>
      <w:lang w:val="en-US" w:eastAsia="zh-CN"/>
    </w:rPr>
  </w:style>
  <w:style w:type="character" w:customStyle="1" w:styleId="127">
    <w:name w:val="Char Char7"/>
    <w:qFormat/>
    <w:uiPriority w:val="0"/>
    <w:rPr>
      <w:rFonts w:ascii="宋体" w:hAnsi="宋体" w:eastAsia="宋体"/>
      <w:kern w:val="2"/>
      <w:sz w:val="28"/>
    </w:rPr>
  </w:style>
  <w:style w:type="paragraph" w:customStyle="1" w:styleId="128">
    <w:name w:val="正文文本 21"/>
    <w:basedOn w:val="1"/>
    <w:qFormat/>
    <w:uiPriority w:val="0"/>
    <w:pPr>
      <w:adjustRightInd w:val="0"/>
      <w:spacing w:before="120" w:line="360" w:lineRule="auto"/>
      <w:ind w:firstLine="480"/>
      <w:textAlignment w:val="baseline"/>
    </w:pPr>
    <w:rPr>
      <w:sz w:val="24"/>
      <w:szCs w:val="24"/>
    </w:rPr>
  </w:style>
  <w:style w:type="paragraph" w:customStyle="1" w:styleId="12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30">
    <w:name w:val="可研正文"/>
    <w:basedOn w:val="2"/>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1">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2">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3">
    <w:name w:val="没有缩进（为图形使用）"/>
    <w:basedOn w:val="1"/>
    <w:qFormat/>
    <w:uiPriority w:val="0"/>
    <w:pPr>
      <w:spacing w:before="120" w:after="120" w:line="360" w:lineRule="auto"/>
    </w:pPr>
    <w:rPr>
      <w:sz w:val="24"/>
      <w:szCs w:val="24"/>
    </w:rPr>
  </w:style>
  <w:style w:type="paragraph" w:customStyle="1" w:styleId="134">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5">
    <w:name w:val="样式1xz"/>
    <w:basedOn w:val="1"/>
    <w:qFormat/>
    <w:uiPriority w:val="0"/>
    <w:pPr>
      <w:tabs>
        <w:tab w:val="left" w:pos="1050"/>
        <w:tab w:val="right" w:leader="dot" w:pos="8296"/>
      </w:tabs>
    </w:pPr>
    <w:rPr>
      <w:caps/>
      <w:spacing w:val="20"/>
      <w:sz w:val="24"/>
      <w:szCs w:val="24"/>
    </w:rPr>
  </w:style>
  <w:style w:type="paragraph" w:customStyle="1" w:styleId="136">
    <w:name w:val="简单回函地址"/>
    <w:basedOn w:val="1"/>
    <w:qFormat/>
    <w:uiPriority w:val="0"/>
    <w:pPr>
      <w:adjustRightInd w:val="0"/>
      <w:snapToGrid w:val="0"/>
      <w:spacing w:line="360" w:lineRule="auto"/>
    </w:pPr>
    <w:rPr>
      <w:sz w:val="24"/>
      <w:szCs w:val="24"/>
    </w:rPr>
  </w:style>
  <w:style w:type="paragraph" w:customStyle="1" w:styleId="137">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8">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9">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40">
    <w:name w:val="Char Char14 Char Char"/>
    <w:basedOn w:val="1"/>
    <w:qFormat/>
    <w:uiPriority w:val="99"/>
    <w:rPr>
      <w:sz w:val="21"/>
      <w:szCs w:val="21"/>
    </w:rPr>
  </w:style>
  <w:style w:type="paragraph" w:customStyle="1" w:styleId="141">
    <w:name w:val="IN Feature"/>
    <w:next w:val="142"/>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2">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3">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4">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5">
    <w:name w:val="一级条标题"/>
    <w:basedOn w:val="146"/>
    <w:next w:val="147"/>
    <w:qFormat/>
    <w:uiPriority w:val="99"/>
    <w:pPr>
      <w:spacing w:beforeLines="0" w:afterLines="0"/>
      <w:ind w:left="525"/>
      <w:outlineLvl w:val="2"/>
    </w:pPr>
    <w:rPr>
      <w:sz w:val="21"/>
      <w:szCs w:val="21"/>
    </w:rPr>
  </w:style>
  <w:style w:type="paragraph" w:customStyle="1" w:styleId="146">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7">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8">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9">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50">
    <w:name w:val="图片文字"/>
    <w:basedOn w:val="1"/>
    <w:qFormat/>
    <w:uiPriority w:val="0"/>
    <w:pPr>
      <w:spacing w:line="240" w:lineRule="atLeast"/>
      <w:jc w:val="center"/>
    </w:pPr>
    <w:rPr>
      <w:sz w:val="21"/>
      <w:szCs w:val="21"/>
    </w:rPr>
  </w:style>
  <w:style w:type="paragraph" w:customStyle="1" w:styleId="151">
    <w:name w:val="二级条标题"/>
    <w:basedOn w:val="145"/>
    <w:next w:val="147"/>
    <w:qFormat/>
    <w:uiPriority w:val="99"/>
    <w:pPr>
      <w:ind w:left="840"/>
      <w:outlineLvl w:val="3"/>
    </w:pPr>
  </w:style>
  <w:style w:type="paragraph" w:customStyle="1" w:styleId="152">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3">
    <w:name w:val="表文字"/>
    <w:qFormat/>
    <w:uiPriority w:val="0"/>
    <w:rPr>
      <w:rFonts w:ascii="宋体" w:hAnsi="Times New Roman" w:eastAsia="宋体" w:cs="宋体"/>
      <w:kern w:val="2"/>
      <w:lang w:val="en-US" w:eastAsia="zh-CN" w:bidi="ar-SA"/>
    </w:rPr>
  </w:style>
  <w:style w:type="paragraph" w:customStyle="1" w:styleId="154">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5">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6">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7">
    <w:name w:val="标书正文:  0.74 厘米"/>
    <w:basedOn w:val="1"/>
    <w:qFormat/>
    <w:uiPriority w:val="0"/>
    <w:pPr>
      <w:snapToGrid w:val="0"/>
      <w:spacing w:line="360" w:lineRule="auto"/>
      <w:ind w:firstLine="420"/>
    </w:pPr>
    <w:rPr>
      <w:sz w:val="24"/>
      <w:szCs w:val="24"/>
    </w:rPr>
  </w:style>
  <w:style w:type="paragraph" w:customStyle="1" w:styleId="158">
    <w:name w:val="修订1"/>
    <w:qFormat/>
    <w:uiPriority w:val="0"/>
    <w:rPr>
      <w:rFonts w:ascii="Times New Roman" w:hAnsi="Times New Roman" w:eastAsia="宋体" w:cs="Times New Roman"/>
      <w:kern w:val="2"/>
      <w:sz w:val="21"/>
      <w:szCs w:val="21"/>
      <w:lang w:val="en-US" w:eastAsia="zh-CN" w:bidi="ar-SA"/>
    </w:rPr>
  </w:style>
  <w:style w:type="paragraph" w:customStyle="1" w:styleId="159">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60">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1">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2">
    <w:name w:val="样式 样式 首行缩进:  2 字符 + 首行缩进:  2 字符"/>
    <w:basedOn w:val="1"/>
    <w:qFormat/>
    <w:uiPriority w:val="0"/>
    <w:pPr>
      <w:spacing w:line="360" w:lineRule="auto"/>
      <w:ind w:firstLine="480" w:firstLineChars="200"/>
    </w:pPr>
    <w:rPr>
      <w:sz w:val="24"/>
      <w:szCs w:val="24"/>
    </w:rPr>
  </w:style>
  <w:style w:type="paragraph" w:customStyle="1" w:styleId="163">
    <w:name w:val="样式 标题 1 + 居中 段前: 6 磅 段后: 6 磅 行距: 1.5 倍行距"/>
    <w:basedOn w:val="4"/>
    <w:qFormat/>
    <w:uiPriority w:val="0"/>
    <w:pPr>
      <w:keepLines/>
      <w:adjustRightInd w:val="0"/>
      <w:spacing w:before="120" w:after="120" w:line="360" w:lineRule="auto"/>
      <w:jc w:val="center"/>
    </w:pPr>
    <w:rPr>
      <w:sz w:val="32"/>
      <w:szCs w:val="32"/>
    </w:rPr>
  </w:style>
  <w:style w:type="paragraph" w:customStyle="1" w:styleId="164">
    <w:name w:val="样式 标题 6第五层条 + 三号 段前: 0.5 行"/>
    <w:basedOn w:val="9"/>
    <w:qFormat/>
    <w:uiPriority w:val="0"/>
    <w:pPr>
      <w:widowControl/>
      <w:adjustRightInd/>
      <w:snapToGrid/>
      <w:spacing w:beforeLines="50"/>
      <w:jc w:val="left"/>
    </w:pPr>
    <w:rPr>
      <w:kern w:val="24"/>
      <w:sz w:val="28"/>
      <w:szCs w:val="28"/>
    </w:rPr>
  </w:style>
  <w:style w:type="paragraph" w:customStyle="1" w:styleId="165">
    <w:name w:val="关键词"/>
    <w:basedOn w:val="1"/>
    <w:next w:val="1"/>
    <w:qFormat/>
    <w:uiPriority w:val="0"/>
    <w:pPr>
      <w:spacing w:line="360" w:lineRule="auto"/>
    </w:pPr>
    <w:rPr>
      <w:rFonts w:eastAsia="黑体"/>
      <w:sz w:val="20"/>
      <w:szCs w:val="20"/>
    </w:rPr>
  </w:style>
  <w:style w:type="paragraph" w:customStyle="1" w:styleId="166">
    <w:name w:val="Char2 Char Char Char Char Char Char"/>
    <w:basedOn w:val="1"/>
    <w:qFormat/>
    <w:uiPriority w:val="99"/>
    <w:rPr>
      <w:rFonts w:ascii="仿宋_GB2312" w:cs="仿宋_GB2312"/>
      <w:b/>
      <w:bCs/>
      <w:sz w:val="30"/>
      <w:szCs w:val="30"/>
    </w:rPr>
  </w:style>
  <w:style w:type="paragraph" w:customStyle="1" w:styleId="167">
    <w:name w:val="Char Char Char"/>
    <w:basedOn w:val="1"/>
    <w:qFormat/>
    <w:uiPriority w:val="0"/>
    <w:rPr>
      <w:rFonts w:ascii="Tahoma" w:hAnsi="Tahoma" w:cs="Tahoma"/>
      <w:sz w:val="24"/>
      <w:szCs w:val="24"/>
    </w:rPr>
  </w:style>
  <w:style w:type="paragraph" w:customStyle="1" w:styleId="168">
    <w:name w:val="表头文本"/>
    <w:qFormat/>
    <w:uiPriority w:val="0"/>
    <w:pPr>
      <w:jc w:val="center"/>
    </w:pPr>
    <w:rPr>
      <w:rFonts w:ascii="Arial" w:hAnsi="Arial" w:eastAsia="宋体" w:cs="Arial"/>
      <w:b/>
      <w:bCs/>
      <w:sz w:val="21"/>
      <w:szCs w:val="21"/>
      <w:lang w:val="en-US" w:eastAsia="zh-CN" w:bidi="ar-SA"/>
    </w:rPr>
  </w:style>
  <w:style w:type="paragraph" w:customStyle="1" w:styleId="169">
    <w:name w:val="样式1"/>
    <w:basedOn w:val="7"/>
    <w:qFormat/>
    <w:uiPriority w:val="0"/>
    <w:pPr>
      <w:tabs>
        <w:tab w:val="left" w:pos="720"/>
      </w:tabs>
      <w:spacing w:before="500" w:after="260" w:line="560" w:lineRule="atLeast"/>
      <w:ind w:left="420" w:hanging="420"/>
    </w:pPr>
  </w:style>
  <w:style w:type="paragraph" w:customStyle="1" w:styleId="170">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2">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3">
    <w:name w:val="_Style 240"/>
    <w:basedOn w:val="1"/>
    <w:next w:val="1"/>
    <w:qFormat/>
    <w:uiPriority w:val="99"/>
    <w:pPr>
      <w:pBdr>
        <w:top w:val="single" w:color="auto" w:sz="6" w:space="1"/>
      </w:pBdr>
      <w:jc w:val="center"/>
    </w:pPr>
    <w:rPr>
      <w:rFonts w:ascii="Arial" w:cs="Arial"/>
      <w:vanish/>
      <w:sz w:val="16"/>
      <w:szCs w:val="16"/>
    </w:rPr>
  </w:style>
  <w:style w:type="paragraph" w:customStyle="1" w:styleId="174">
    <w:name w:val="Char"/>
    <w:basedOn w:val="1"/>
    <w:qFormat/>
    <w:uiPriority w:val="0"/>
    <w:pPr>
      <w:spacing w:line="240" w:lineRule="atLeast"/>
      <w:ind w:left="420" w:firstLine="420"/>
    </w:pPr>
    <w:rPr>
      <w:kern w:val="0"/>
      <w:sz w:val="21"/>
      <w:szCs w:val="21"/>
    </w:rPr>
  </w:style>
  <w:style w:type="paragraph" w:customStyle="1" w:styleId="175">
    <w:name w:val="摘要"/>
    <w:basedOn w:val="1"/>
    <w:next w:val="5"/>
    <w:qFormat/>
    <w:uiPriority w:val="0"/>
    <w:pPr>
      <w:spacing w:line="360" w:lineRule="auto"/>
    </w:pPr>
    <w:rPr>
      <w:rFonts w:eastAsia="黑体"/>
      <w:sz w:val="20"/>
      <w:szCs w:val="20"/>
    </w:rPr>
  </w:style>
  <w:style w:type="paragraph" w:customStyle="1" w:styleId="176">
    <w:name w:val="Char1"/>
    <w:basedOn w:val="1"/>
    <w:qFormat/>
    <w:uiPriority w:val="0"/>
    <w:rPr>
      <w:sz w:val="21"/>
      <w:szCs w:val="21"/>
    </w:rPr>
  </w:style>
  <w:style w:type="paragraph" w:customStyle="1" w:styleId="177">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8">
    <w:name w:val="Style Heading 3h3Heading 3 - oldLevel 3 HeadH3level_3PIM 3se..."/>
    <w:basedOn w:val="6"/>
    <w:qFormat/>
    <w:uiPriority w:val="0"/>
    <w:pPr>
      <w:tabs>
        <w:tab w:val="left" w:pos="709"/>
        <w:tab w:val="left" w:pos="1620"/>
      </w:tabs>
      <w:ind w:left="1620" w:hanging="360"/>
    </w:pPr>
  </w:style>
  <w:style w:type="paragraph" w:customStyle="1" w:styleId="179">
    <w:name w:val="Title - Revision"/>
    <w:basedOn w:val="54"/>
    <w:qFormat/>
    <w:uiPriority w:val="0"/>
    <w:pPr>
      <w:spacing w:before="720"/>
    </w:pPr>
  </w:style>
  <w:style w:type="paragraph" w:customStyle="1" w:styleId="180">
    <w:name w:val="Char1 Char Char Char1"/>
    <w:basedOn w:val="1"/>
    <w:qFormat/>
    <w:uiPriority w:val="0"/>
    <w:rPr>
      <w:rFonts w:ascii="Tahoma" w:hAnsi="Tahoma" w:cs="Tahoma"/>
      <w:sz w:val="24"/>
      <w:szCs w:val="24"/>
    </w:rPr>
  </w:style>
  <w:style w:type="paragraph" w:customStyle="1" w:styleId="181">
    <w:name w:val="样式4"/>
    <w:basedOn w:val="7"/>
    <w:qFormat/>
    <w:uiPriority w:val="0"/>
    <w:pPr>
      <w:adjustRightInd w:val="0"/>
      <w:snapToGrid w:val="0"/>
    </w:pPr>
  </w:style>
  <w:style w:type="paragraph" w:customStyle="1" w:styleId="182">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3">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4">
    <w:name w:val="首行缩进 1"/>
    <w:basedOn w:val="1"/>
    <w:qFormat/>
    <w:uiPriority w:val="0"/>
    <w:pPr>
      <w:spacing w:after="120" w:line="360" w:lineRule="auto"/>
      <w:ind w:firstLine="200" w:firstLineChars="200"/>
    </w:pPr>
    <w:rPr>
      <w:sz w:val="24"/>
      <w:szCs w:val="24"/>
    </w:rPr>
  </w:style>
  <w:style w:type="paragraph" w:customStyle="1" w:styleId="185">
    <w:name w:val="Char Char Char Char Char Char Char"/>
    <w:basedOn w:val="19"/>
    <w:qFormat/>
    <w:uiPriority w:val="0"/>
    <w:rPr>
      <w:rFonts w:ascii="宋体" w:hAnsi="Tahoma" w:cs="宋体"/>
    </w:rPr>
  </w:style>
  <w:style w:type="paragraph" w:customStyle="1" w:styleId="186">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7">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8">
    <w:name w:val="默认段落字体 Para Char Char Char Char Char Char Char"/>
    <w:basedOn w:val="1"/>
    <w:qFormat/>
    <w:uiPriority w:val="0"/>
    <w:rPr>
      <w:rFonts w:ascii="Tahoma" w:hAnsi="Tahoma" w:cs="Tahoma"/>
      <w:sz w:val="24"/>
      <w:szCs w:val="24"/>
    </w:rPr>
  </w:style>
  <w:style w:type="paragraph" w:customStyle="1" w:styleId="189">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90">
    <w:name w:val="正文表格"/>
    <w:basedOn w:val="1"/>
    <w:qFormat/>
    <w:uiPriority w:val="0"/>
    <w:pPr>
      <w:adjustRightInd w:val="0"/>
      <w:spacing w:before="40" w:after="40"/>
    </w:pPr>
    <w:rPr>
      <w:sz w:val="24"/>
      <w:szCs w:val="24"/>
    </w:rPr>
  </w:style>
  <w:style w:type="paragraph" w:customStyle="1" w:styleId="191">
    <w:name w:val="标题无"/>
    <w:basedOn w:val="1"/>
    <w:qFormat/>
    <w:uiPriority w:val="0"/>
    <w:pPr>
      <w:spacing w:line="360" w:lineRule="auto"/>
    </w:pPr>
    <w:rPr>
      <w:sz w:val="24"/>
      <w:szCs w:val="24"/>
    </w:rPr>
  </w:style>
  <w:style w:type="paragraph" w:customStyle="1" w:styleId="192">
    <w:name w:val="样式2"/>
    <w:basedOn w:val="7"/>
    <w:qFormat/>
    <w:uiPriority w:val="0"/>
    <w:pPr>
      <w:tabs>
        <w:tab w:val="left" w:pos="720"/>
      </w:tabs>
      <w:spacing w:before="560" w:line="400" w:lineRule="exact"/>
      <w:ind w:left="420" w:hanging="420"/>
      <w:jc w:val="center"/>
      <w:outlineLvl w:val="0"/>
    </w:pPr>
    <w:rPr>
      <w:b w:val="0"/>
      <w:sz w:val="44"/>
      <w:szCs w:val="44"/>
    </w:rPr>
  </w:style>
  <w:style w:type="paragraph" w:customStyle="1" w:styleId="193">
    <w:name w:val="正文 + 三号"/>
    <w:basedOn w:val="1"/>
    <w:qFormat/>
    <w:uiPriority w:val="0"/>
    <w:rPr>
      <w:sz w:val="21"/>
      <w:szCs w:val="21"/>
    </w:rPr>
  </w:style>
  <w:style w:type="paragraph" w:customStyle="1" w:styleId="194">
    <w:name w:val="1"/>
    <w:basedOn w:val="1"/>
    <w:next w:val="31"/>
    <w:qFormat/>
    <w:uiPriority w:val="0"/>
    <w:rPr>
      <w:rFonts w:ascii="宋体" w:hAnsi="Courier New" w:cs="宋体"/>
      <w:sz w:val="21"/>
      <w:szCs w:val="21"/>
    </w:rPr>
  </w:style>
  <w:style w:type="paragraph" w:customStyle="1" w:styleId="195">
    <w:name w:val="标题3——2"/>
    <w:basedOn w:val="6"/>
    <w:next w:val="3"/>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6">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7">
    <w:name w:val="Table Contents"/>
    <w:basedOn w:val="2"/>
    <w:qFormat/>
    <w:uiPriority w:val="0"/>
    <w:pPr>
      <w:suppressAutoHyphens/>
      <w:spacing w:after="0"/>
      <w:jc w:val="left"/>
    </w:pPr>
    <w:rPr>
      <w:kern w:val="0"/>
      <w:sz w:val="24"/>
      <w:szCs w:val="24"/>
    </w:rPr>
  </w:style>
  <w:style w:type="paragraph" w:customStyle="1" w:styleId="198">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9">
    <w:name w:val="内容标题"/>
    <w:basedOn w:val="19"/>
    <w:qFormat/>
    <w:uiPriority w:val="0"/>
    <w:rPr>
      <w:rFonts w:ascii="Tahoma" w:hAnsi="Tahoma" w:cs="Tahoma"/>
      <w:sz w:val="24"/>
      <w:szCs w:val="24"/>
    </w:rPr>
  </w:style>
  <w:style w:type="paragraph" w:customStyle="1" w:styleId="200">
    <w:name w:val="段落正文"/>
    <w:basedOn w:val="1"/>
    <w:qFormat/>
    <w:uiPriority w:val="0"/>
    <w:pPr>
      <w:spacing w:beforeLines="50" w:line="360" w:lineRule="auto"/>
      <w:ind w:firstLine="200" w:firstLineChars="200"/>
    </w:pPr>
    <w:rPr>
      <w:spacing w:val="2"/>
      <w:sz w:val="24"/>
      <w:szCs w:val="24"/>
    </w:rPr>
  </w:style>
  <w:style w:type="paragraph" w:customStyle="1" w:styleId="201">
    <w:name w:val="Char Char 字元 字元 字元 Char Char Char Char"/>
    <w:basedOn w:val="1"/>
    <w:qFormat/>
    <w:uiPriority w:val="0"/>
    <w:pPr>
      <w:adjustRightInd w:val="0"/>
      <w:spacing w:line="360" w:lineRule="auto"/>
    </w:pPr>
    <w:rPr>
      <w:kern w:val="0"/>
      <w:sz w:val="24"/>
      <w:szCs w:val="24"/>
    </w:rPr>
  </w:style>
  <w:style w:type="paragraph" w:customStyle="1" w:styleId="202">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3">
    <w:name w:val="样式 首行缩进:  0.74 厘米"/>
    <w:basedOn w:val="1"/>
    <w:qFormat/>
    <w:uiPriority w:val="0"/>
    <w:pPr>
      <w:spacing w:line="360" w:lineRule="auto"/>
      <w:ind w:firstLine="420"/>
    </w:pPr>
    <w:rPr>
      <w:sz w:val="24"/>
      <w:szCs w:val="24"/>
    </w:rPr>
  </w:style>
  <w:style w:type="paragraph" w:customStyle="1" w:styleId="204">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5">
    <w:name w:val="Char2"/>
    <w:basedOn w:val="1"/>
    <w:qFormat/>
    <w:uiPriority w:val="0"/>
    <w:pPr>
      <w:spacing w:line="240" w:lineRule="atLeast"/>
      <w:ind w:left="420" w:firstLine="420"/>
    </w:pPr>
    <w:rPr>
      <w:kern w:val="0"/>
      <w:sz w:val="21"/>
      <w:szCs w:val="21"/>
    </w:rPr>
  </w:style>
  <w:style w:type="paragraph" w:customStyle="1" w:styleId="20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7">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8">
    <w:name w:val="首行缩进"/>
    <w:basedOn w:val="1"/>
    <w:qFormat/>
    <w:uiPriority w:val="0"/>
    <w:pPr>
      <w:tabs>
        <w:tab w:val="left" w:pos="540"/>
      </w:tabs>
      <w:spacing w:line="360" w:lineRule="auto"/>
      <w:ind w:left="540"/>
    </w:pPr>
    <w:rPr>
      <w:rFonts w:eastAsia="仿宋_GB2312"/>
    </w:rPr>
  </w:style>
  <w:style w:type="paragraph" w:customStyle="1" w:styleId="209">
    <w:name w:val="表格文本"/>
    <w:qFormat/>
    <w:uiPriority w:val="0"/>
    <w:pPr>
      <w:tabs>
        <w:tab w:val="decimal" w:pos="0"/>
      </w:tabs>
    </w:pPr>
    <w:rPr>
      <w:rFonts w:ascii="Arial" w:hAnsi="Arial" w:eastAsia="宋体" w:cs="Arial"/>
      <w:sz w:val="21"/>
      <w:szCs w:val="21"/>
      <w:lang w:val="en-US" w:eastAsia="zh-CN" w:bidi="ar-SA"/>
    </w:rPr>
  </w:style>
  <w:style w:type="paragraph" w:customStyle="1" w:styleId="210">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1">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2">
    <w:name w:val="Char Char1 Char"/>
    <w:basedOn w:val="1"/>
    <w:qFormat/>
    <w:uiPriority w:val="0"/>
    <w:rPr>
      <w:rFonts w:ascii="Tahoma" w:hAnsi="Tahoma" w:cs="Tahoma"/>
      <w:sz w:val="24"/>
      <w:szCs w:val="24"/>
    </w:rPr>
  </w:style>
  <w:style w:type="paragraph" w:customStyle="1" w:styleId="21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4">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5">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6">
    <w:name w:val="正文文本缩进 21"/>
    <w:basedOn w:val="1"/>
    <w:qFormat/>
    <w:uiPriority w:val="0"/>
    <w:pPr>
      <w:adjustRightInd w:val="0"/>
      <w:spacing w:before="120"/>
      <w:ind w:firstLine="420"/>
      <w:textAlignment w:val="baseline"/>
    </w:pPr>
    <w:rPr>
      <w:sz w:val="24"/>
      <w:szCs w:val="24"/>
    </w:rPr>
  </w:style>
  <w:style w:type="paragraph" w:customStyle="1" w:styleId="217">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8">
    <w:name w:val="文本1"/>
    <w:basedOn w:val="1"/>
    <w:qFormat/>
    <w:uiPriority w:val="0"/>
    <w:pPr>
      <w:adjustRightInd w:val="0"/>
      <w:spacing w:line="312" w:lineRule="atLeast"/>
      <w:jc w:val="center"/>
      <w:textAlignment w:val="baseline"/>
    </w:pPr>
    <w:rPr>
      <w:kern w:val="0"/>
      <w:sz w:val="18"/>
      <w:szCs w:val="18"/>
    </w:rPr>
  </w:style>
  <w:style w:type="paragraph" w:customStyle="1" w:styleId="219">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20">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1">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2">
    <w:name w:val="Char Char Char Char Char Char Char Char Char Char Char Char Char Char Char Char"/>
    <w:basedOn w:val="1"/>
    <w:qFormat/>
    <w:uiPriority w:val="99"/>
    <w:pPr>
      <w:tabs>
        <w:tab w:val="left" w:pos="360"/>
      </w:tabs>
    </w:pPr>
    <w:rPr>
      <w:sz w:val="24"/>
      <w:szCs w:val="24"/>
    </w:rPr>
  </w:style>
  <w:style w:type="paragraph" w:customStyle="1" w:styleId="223">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4">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5">
    <w:name w:val="Char1 Char Char Char"/>
    <w:basedOn w:val="1"/>
    <w:qFormat/>
    <w:uiPriority w:val="0"/>
    <w:rPr>
      <w:rFonts w:ascii="Tahoma" w:hAnsi="Tahoma" w:cs="Tahoma"/>
      <w:sz w:val="30"/>
      <w:szCs w:val="30"/>
    </w:rPr>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7">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8">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9">
    <w:name w:val="样式3"/>
    <w:basedOn w:val="4"/>
    <w:next w:val="4"/>
    <w:qFormat/>
    <w:uiPriority w:val="0"/>
    <w:pPr>
      <w:keepLines/>
      <w:adjustRightInd w:val="0"/>
      <w:spacing w:before="340" w:after="330" w:line="576" w:lineRule="auto"/>
    </w:pPr>
    <w:rPr>
      <w:rFonts w:eastAsia="黑体"/>
    </w:rPr>
  </w:style>
  <w:style w:type="paragraph" w:customStyle="1" w:styleId="230">
    <w:name w:val="1.正文"/>
    <w:basedOn w:val="1"/>
    <w:qFormat/>
    <w:uiPriority w:val="0"/>
    <w:pPr>
      <w:spacing w:line="360" w:lineRule="auto"/>
      <w:ind w:left="540" w:leftChars="225" w:firstLine="540" w:firstLineChars="225"/>
    </w:pPr>
    <w:rPr>
      <w:sz w:val="24"/>
      <w:szCs w:val="24"/>
    </w:rPr>
  </w:style>
  <w:style w:type="paragraph" w:customStyle="1" w:styleId="231">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2">
    <w:name w:val="默认段落字体 Para Char Char Char Char Char Char Char Char Char1 Char Char Char Char"/>
    <w:basedOn w:val="1"/>
    <w:qFormat/>
    <w:uiPriority w:val="0"/>
    <w:rPr>
      <w:rFonts w:ascii="Tahoma" w:hAnsi="Tahoma" w:cs="Tahoma"/>
      <w:sz w:val="24"/>
      <w:szCs w:val="24"/>
    </w:rPr>
  </w:style>
  <w:style w:type="paragraph" w:customStyle="1" w:styleId="233">
    <w:name w:val="CSS1级正文 Char"/>
    <w:basedOn w:val="2"/>
    <w:qFormat/>
    <w:uiPriority w:val="0"/>
    <w:pPr>
      <w:adjustRightInd w:val="0"/>
      <w:snapToGrid w:val="0"/>
      <w:spacing w:after="0" w:line="360" w:lineRule="auto"/>
      <w:ind w:firstLine="480"/>
    </w:pPr>
    <w:rPr>
      <w:kern w:val="0"/>
      <w:sz w:val="24"/>
      <w:szCs w:val="24"/>
    </w:rPr>
  </w:style>
  <w:style w:type="paragraph" w:customStyle="1" w:styleId="234">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5">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6">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7">
    <w:name w:val="正文1"/>
    <w:basedOn w:val="1"/>
    <w:qFormat/>
    <w:uiPriority w:val="0"/>
    <w:pPr>
      <w:spacing w:line="300" w:lineRule="auto"/>
      <w:ind w:firstLine="200" w:firstLineChars="200"/>
    </w:pPr>
    <w:rPr>
      <w:sz w:val="24"/>
      <w:szCs w:val="24"/>
    </w:rPr>
  </w:style>
  <w:style w:type="paragraph" w:customStyle="1" w:styleId="238">
    <w:name w:val="样式 行距: 1.5 倍行距1"/>
    <w:basedOn w:val="1"/>
    <w:qFormat/>
    <w:uiPriority w:val="0"/>
    <w:pPr>
      <w:snapToGrid w:val="0"/>
    </w:pPr>
    <w:rPr>
      <w:sz w:val="21"/>
      <w:szCs w:val="21"/>
    </w:rPr>
  </w:style>
  <w:style w:type="paragraph" w:customStyle="1" w:styleId="239">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40">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1">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2">
    <w:name w:val="样式 正文缩进正文（首行缩进两字）表正文正文非缩进特点标题4段1 + 首行缩进:  2 字符"/>
    <w:basedOn w:val="17"/>
    <w:qFormat/>
    <w:uiPriority w:val="0"/>
    <w:pPr>
      <w:ind w:firstLine="480" w:firstLineChars="200"/>
    </w:pPr>
  </w:style>
  <w:style w:type="paragraph" w:customStyle="1" w:styleId="243">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4">
    <w:name w:val="标准正文"/>
    <w:basedOn w:val="24"/>
    <w:qFormat/>
    <w:uiPriority w:val="0"/>
    <w:pPr>
      <w:spacing w:before="60" w:after="60" w:line="360" w:lineRule="auto"/>
      <w:ind w:left="0" w:firstLine="482"/>
    </w:pPr>
    <w:rPr>
      <w:rFonts w:ascii="Arial" w:hAnsi="Arial" w:cs="Arial"/>
      <w:sz w:val="24"/>
      <w:szCs w:val="24"/>
    </w:rPr>
  </w:style>
  <w:style w:type="paragraph" w:customStyle="1" w:styleId="245">
    <w:name w:val="正文字缩2字"/>
    <w:basedOn w:val="1"/>
    <w:qFormat/>
    <w:uiPriority w:val="0"/>
    <w:pPr>
      <w:spacing w:before="60" w:after="60" w:line="360" w:lineRule="auto"/>
      <w:ind w:left="200" w:leftChars="200" w:firstLine="200" w:firstLineChars="200"/>
    </w:pPr>
    <w:rPr>
      <w:sz w:val="24"/>
      <w:szCs w:val="24"/>
    </w:rPr>
  </w:style>
  <w:style w:type="paragraph" w:customStyle="1" w:styleId="246">
    <w:name w:val="Title - Date"/>
    <w:basedOn w:val="54"/>
    <w:next w:val="1"/>
    <w:qFormat/>
    <w:uiPriority w:val="0"/>
    <w:pPr>
      <w:spacing w:before="240" w:after="720"/>
    </w:pPr>
    <w:rPr>
      <w:sz w:val="28"/>
      <w:szCs w:val="28"/>
    </w:rPr>
  </w:style>
  <w:style w:type="paragraph" w:customStyle="1" w:styleId="247">
    <w:name w:val="List Paragraph1"/>
    <w:basedOn w:val="1"/>
    <w:qFormat/>
    <w:uiPriority w:val="99"/>
    <w:pPr>
      <w:ind w:firstLine="420" w:firstLineChars="200"/>
    </w:pPr>
  </w:style>
  <w:style w:type="paragraph" w:customStyle="1" w:styleId="248">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9">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50">
    <w:name w:val="af"/>
    <w:basedOn w:val="1"/>
    <w:qFormat/>
    <w:uiPriority w:val="99"/>
    <w:pPr>
      <w:widowControl/>
      <w:spacing w:line="300" w:lineRule="atLeast"/>
      <w:jc w:val="left"/>
    </w:pPr>
    <w:rPr>
      <w:rFonts w:ascii="宋体" w:hAnsi="宋体" w:cs="宋体"/>
      <w:kern w:val="0"/>
      <w:sz w:val="18"/>
      <w:szCs w:val="18"/>
    </w:rPr>
  </w:style>
  <w:style w:type="paragraph" w:customStyle="1" w:styleId="251">
    <w:name w:val="Char Char Char Char Char Char Char1"/>
    <w:basedOn w:val="1"/>
    <w:qFormat/>
    <w:uiPriority w:val="0"/>
    <w:rPr>
      <w:rFonts w:ascii="Tahoma" w:hAnsi="Tahoma" w:cs="Tahoma"/>
      <w:sz w:val="24"/>
      <w:szCs w:val="24"/>
    </w:rPr>
  </w:style>
  <w:style w:type="paragraph" w:customStyle="1" w:styleId="252">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3">
    <w:name w:val="文本框样式1"/>
    <w:basedOn w:val="1"/>
    <w:qFormat/>
    <w:uiPriority w:val="0"/>
    <w:pPr>
      <w:adjustRightInd w:val="0"/>
      <w:snapToGrid w:val="0"/>
      <w:spacing w:before="60" w:line="180" w:lineRule="exact"/>
      <w:jc w:val="center"/>
    </w:pPr>
    <w:rPr>
      <w:sz w:val="21"/>
      <w:szCs w:val="21"/>
    </w:rPr>
  </w:style>
  <w:style w:type="paragraph" w:customStyle="1" w:styleId="254">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5">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6">
    <w:name w:val="图例"/>
    <w:basedOn w:val="1"/>
    <w:qFormat/>
    <w:uiPriority w:val="0"/>
    <w:pPr>
      <w:spacing w:before="120" w:after="120" w:line="360" w:lineRule="auto"/>
      <w:jc w:val="center"/>
    </w:pPr>
    <w:rPr>
      <w:rFonts w:eastAsia="仿宋_GB2312"/>
      <w:b/>
      <w:bCs/>
      <w:sz w:val="24"/>
      <w:szCs w:val="24"/>
    </w:rPr>
  </w:style>
  <w:style w:type="paragraph" w:customStyle="1" w:styleId="257">
    <w:name w:val="编号正文"/>
    <w:basedOn w:val="148"/>
    <w:qFormat/>
    <w:uiPriority w:val="0"/>
    <w:pPr>
      <w:snapToGrid/>
      <w:spacing w:line="360" w:lineRule="auto"/>
      <w:ind w:left="1407" w:hanging="1047"/>
      <w:jc w:val="left"/>
    </w:pPr>
    <w:rPr>
      <w:rFonts w:eastAsia="仿宋_GB2312"/>
    </w:rPr>
  </w:style>
  <w:style w:type="paragraph" w:customStyle="1" w:styleId="258">
    <w:name w:val="文章正文"/>
    <w:basedOn w:val="1"/>
    <w:qFormat/>
    <w:uiPriority w:val="0"/>
    <w:pPr>
      <w:ind w:firstLine="560" w:firstLineChars="200"/>
    </w:pPr>
    <w:rPr>
      <w:rFonts w:ascii="仿宋_GB2312" w:hAnsi="宋体" w:eastAsia="仿宋_GB2312" w:cs="仿宋_GB2312"/>
      <w:color w:val="000000"/>
    </w:rPr>
  </w:style>
  <w:style w:type="paragraph" w:customStyle="1" w:styleId="25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0">
    <w:name w:val="表格内文字"/>
    <w:basedOn w:val="31"/>
    <w:qFormat/>
    <w:uiPriority w:val="0"/>
    <w:pPr>
      <w:adjustRightInd w:val="0"/>
    </w:pPr>
    <w:rPr>
      <w:color w:val="000000"/>
      <w:lang w:val="en-GB"/>
    </w:rPr>
  </w:style>
  <w:style w:type="paragraph" w:customStyle="1" w:styleId="261">
    <w:name w:val="二级列表"/>
    <w:basedOn w:val="200"/>
    <w:next w:val="200"/>
    <w:qFormat/>
    <w:uiPriority w:val="0"/>
    <w:pPr>
      <w:tabs>
        <w:tab w:val="left" w:pos="2120"/>
      </w:tabs>
      <w:ind w:firstLine="0" w:firstLineChars="0"/>
    </w:pPr>
    <w:rPr>
      <w:b/>
      <w:bCs/>
    </w:rPr>
  </w:style>
  <w:style w:type="paragraph" w:customStyle="1" w:styleId="262">
    <w:name w:val="表格非标题文字"/>
    <w:link w:val="263"/>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3">
    <w:name w:val="表格非标题文字 Char"/>
    <w:link w:val="262"/>
    <w:qFormat/>
    <w:locked/>
    <w:uiPriority w:val="99"/>
    <w:rPr>
      <w:rFonts w:ascii="Futura Bk" w:hAnsi="Futura Bk" w:eastAsia="宋体" w:cs="Times New Roman"/>
      <w:kern w:val="0"/>
      <w:sz w:val="18"/>
      <w:szCs w:val="21"/>
    </w:rPr>
  </w:style>
  <w:style w:type="paragraph" w:customStyle="1" w:styleId="264">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5">
    <w:name w:val="font21"/>
    <w:basedOn w:val="59"/>
    <w:qFormat/>
    <w:uiPriority w:val="0"/>
    <w:rPr>
      <w:rFonts w:ascii="Calibri" w:hAnsi="Calibri" w:cs="Calibri"/>
      <w:color w:val="000000"/>
      <w:sz w:val="28"/>
      <w:szCs w:val="28"/>
      <w:u w:val="none"/>
    </w:rPr>
  </w:style>
  <w:style w:type="character" w:customStyle="1" w:styleId="266">
    <w:name w:val="font01"/>
    <w:basedOn w:val="59"/>
    <w:qFormat/>
    <w:uiPriority w:val="0"/>
    <w:rPr>
      <w:rFonts w:hint="eastAsia" w:ascii="宋体" w:hAnsi="宋体" w:eastAsia="宋体" w:cs="宋体"/>
      <w:color w:val="000000"/>
      <w:sz w:val="28"/>
      <w:szCs w:val="28"/>
      <w:u w:val="none"/>
    </w:rPr>
  </w:style>
  <w:style w:type="paragraph" w:customStyle="1" w:styleId="267">
    <w:name w:val="_Style 265"/>
    <w:unhideWhenUsed/>
    <w:qFormat/>
    <w:uiPriority w:val="99"/>
    <w:rPr>
      <w:rFonts w:ascii="Times New Roman" w:hAnsi="Times New Roman" w:eastAsia="宋体" w:cs="Times New Roman"/>
      <w:lang w:val="en-US" w:eastAsia="zh-CN" w:bidi="ar-SA"/>
    </w:rPr>
  </w:style>
  <w:style w:type="character" w:customStyle="1" w:styleId="268">
    <w:name w:val="Table Text Char1 Char"/>
    <w:qFormat/>
    <w:uiPriority w:val="0"/>
    <w:rPr>
      <w:rFonts w:ascii="Arial" w:hAnsi="Arial"/>
      <w:kern w:val="2"/>
      <w:sz w:val="18"/>
      <w:lang w:val="en-US" w:eastAsia="zh-CN" w:bidi="ar-SA"/>
    </w:rPr>
  </w:style>
  <w:style w:type="character" w:customStyle="1" w:styleId="269">
    <w:name w:val="Table Text Char"/>
    <w:qFormat/>
    <w:uiPriority w:val="0"/>
    <w:rPr>
      <w:rFonts w:ascii="Arial" w:hAnsi="Arial"/>
      <w:kern w:val="2"/>
      <w:sz w:val="18"/>
      <w:lang w:val="en-US" w:eastAsia="zh-CN" w:bidi="ar-SA"/>
    </w:rPr>
  </w:style>
  <w:style w:type="character" w:customStyle="1" w:styleId="270">
    <w:name w:val="Char Char"/>
    <w:qFormat/>
    <w:uiPriority w:val="0"/>
    <w:rPr>
      <w:rFonts w:ascii="宋体" w:hAnsi="宋体" w:eastAsia="宋体"/>
      <w:kern w:val="2"/>
      <w:sz w:val="24"/>
      <w:lang w:val="en-US" w:eastAsia="zh-CN" w:bidi="ar-SA"/>
    </w:rPr>
  </w:style>
  <w:style w:type="character" w:customStyle="1" w:styleId="271">
    <w:name w:val="文字 Char"/>
    <w:qFormat/>
    <w:uiPriority w:val="0"/>
    <w:rPr>
      <w:rFonts w:ascii="宋体" w:eastAsia="宋体"/>
      <w:sz w:val="28"/>
    </w:rPr>
  </w:style>
  <w:style w:type="paragraph" w:customStyle="1" w:styleId="272">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3">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4">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5">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6">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7">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styleId="278">
    <w:name w:val="List Paragraph"/>
    <w:basedOn w:val="1"/>
    <w:unhideWhenUsed/>
    <w:qFormat/>
    <w:uiPriority w:val="34"/>
    <w:pPr>
      <w:ind w:firstLine="420" w:firstLineChars="200"/>
    </w:pPr>
    <w:rPr>
      <w:szCs w:val="20"/>
    </w:rPr>
  </w:style>
  <w:style w:type="character" w:customStyle="1" w:styleId="279">
    <w:name w:val="font71"/>
    <w:basedOn w:val="5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3075"/>
    <customShpInfo spid="_x0000_s3074"/>
    <customShpInfo spid="_x0000_s3073"/>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47AC6-7EA7-4EF0-8F21-2A98A3AB6E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14670</Words>
  <Characters>15838</Characters>
  <Lines>137</Lines>
  <Paragraphs>38</Paragraphs>
  <TotalTime>39</TotalTime>
  <ScaleCrop>false</ScaleCrop>
  <LinksUpToDate>false</LinksUpToDate>
  <CharactersWithSpaces>16806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2022-09-21T01:55:00Z</dcterms:created>
  <dc:creator>微软用户</dc:creator>
  <cp:lastModifiedBy>WPS_1665196883</cp:lastModifiedBy>
  <cp:lastPrinted>2023-03-28T02:33:00Z</cp:lastPrinted>
  <dcterms:modified xsi:type="dcterms:W3CDTF">2023-03-28T06:48:58Z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EA3A4707E9AC4AFAA1E6DD5FCAFBBE29</vt:lpwstr>
  </property>
</Properties>
</file>